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A-2605/2009 vom 14. Juli 2011</w:t>
      </w:r>
    </w:p>
    <w:p>
      <w:r>
        <w:t>Bundesverwaltungsgericht, 2011-07-14, DE</w:t>
      </w:r>
    </w:p>
    <w:p>
      <w:r>
        <w:rPr>
          <w:b/>
        </w:rPr>
        <w:t xml:space="preserve">Quelle: </w:t>
      </w:r>
      <w:r>
        <w:t>https://mcp.opencaselaw.ch/entscheid/bvger_A-2605_2009</w:t>
      </w:r>
    </w:p>
    <w:p>
      <w:r>
        <w:t>FR: TAF A-2605/2009 du 14 juillet 2011</w:t>
      </w:r>
    </w:p>
    <w:p>
      <w:r>
        <w:t>IT: TAF A-2605/2009 del 14 luglio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als Betreiberin von zwei Kraftwerken - Hauterive und Schiffenen - mit einer elektrischen Leistung von mindestens 50 MW (vgl. Art. 31b Abs. 2 StromVV und Anhang 2 der angefochtenen Verfügung) von der Verfügung besonders betroffen. Sie ist damit zur Beschwerde legitimiert.</w:t>
      </w:r>
    </w:p>
    <w:p>
      <w:r>
        <w:rPr>
          <w:b/>
        </w:rPr>
        <w:t>E. 3</w:t>
      </w:r>
    </w:p>
    <w:p>
      <w:r>
        <w:t>Auf die im Übrigen form- und fristgerecht eingereichte Beschwerde (Art. 50 und Art. 52 VwVG) ist einzutreten. Anzufügen ist an dieser Stelle, dass die Beschwerdeführerin in ihrer Beschwerde vom 22. April 2009 lediglich die Dispositiv-Ziff. 3 der vorinstanzlichen Verfügung vom 6. März 2009 angefochten hat. Gegenstand des vorliegenden Verfahrens ist somit einzig die Überprüfung des Tarifs 2009 für allgemeine SDL. Nicht Streitgegenstand bilden dagegen die Tarife 2009 für die Netznutzung der Netzebene 1 (vgl. André Moser/Michael Beusch/Lorenz Kneubühler, Prozessieren vor dem Bundesverwaltungsgericht, Basel 2008, Rz. 2.8).</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2.155).</w:t>
      </w:r>
    </w:p>
    <w:p>
      <w:r>
        <w:rPr>
          <w:b/>
        </w:rPr>
        <w:t>E. 5.1</w:t>
      </w:r>
    </w:p>
    <w:p>
      <w:r>
        <w:t>Die Beschwerdeführerin bringt in materieller Hinsicht vor, der Bundesrat habe mit Art. 31b Abs. 2 StromVV eine Anordnung getroffen, die nicht der Zielsetzung des StromVG entspreche und den Kraftwerksbetreibern finanzielle Bürden auferlege, die im Gesetz nicht angelegt seien. Die klare gesetzliche Ordnung mit dem Ausspeiseprinzip nach Art. 14 Abs. 2 StromVG könne nicht derart abgeändert werden, dass mehr als die Hälfte der Kosten für SDL den Einspeisern (Betreiber von Kraftwerken mit einer elektrischen Leistung von mindestens 50 MW) flächendeckend ohne individuelle Verursachung auferlegt werde. Art. 31b Abs. 2 StromVV sei deshalb wegen Gesetzwidrigkeit und zusätzlich mehrfacher Verletzung des Gleichbehandlungsgrundsatzes aufzuheben bzw. erweise sich als ungültig. Aus diesem Grund sei Dispositiv-Ziff. 3 der Verfügung der Vorinstanz ersatzlos aufzuheben.</w:t>
      </w:r>
    </w:p>
    <w:p>
      <w:r>
        <w:rPr>
          <w:b/>
        </w:rPr>
        <w:t>E. 5.2</w:t>
      </w:r>
    </w:p>
    <w:p>
      <w:r>
        <w:t>Die Vorinstanz hält in ihrer Verfügung dagegen, aus Art. 14 Abs. 3 Bst. d StromVG ergebe sich, dass es zulässig sei, Kosten individuell in Rechnung zu stellen. Das StromVG gehe nicht davon aus, dass die gesamten Betriebs- und Kapitalkosten eines Netzes den Endverbrauchern angelastet würden. Die individuelle Anlastung von Kosten an Kraftwerke verstosse demzufolge nicht gegen das in Art. 14 Abs. 2 StromVG vorgesehene Ausspeiseprinzip. Schon Art. 15 Abs. 1 StromVV sehe vor, gewisse Kosten individuell in Rechnung zu stellen. Diese individuelle Zuordnung der Kosten sei im Rahmen der Vernehmlassung weitgehend unbestritten gewesen. Die individuelle Anlastung von Kosten an Kraftwerke widerspreche auch nicht dem Prinzip der Aufgliederung der Elektrizitätstarife in einen Anteil für die Netznutzung und in einen solchen für die Energielieferung. Kraftwerke hätten ebenfalls Einfluss auf einen sicheren Netzbetrieb. Falle ein Kraftwerk aus, müsse Regelenergie ins Elektrizitätsnetz eingespiesen werden. Art. 4 Abs. 1 Bst. g StromVG nenne als SDL zum Beispiel ausdrücklich die Schwarzstart- und Inselbetriebsfähigkeit von Erzeugern. Es entspreche dem Grundsatz der Verursachergerechtigkeit, dass diese Kosten individuell angelastet würden. Dieser Grundsatz sei in der Stromversorgungsgesetzgebung zentral und werde verschiedentlich genannt. Der Ausfall eines Kraftwerks mit höherer elektrischer Leistung verursache in der Regel höhere Kosten für Regelenergie als der Ausfall eines Kraftwerks mit kleinerer Leistung. Aus diesem Grund sei es angebracht, nur grössere Kraftwerke mit SDL-Kosten zu belasten. Die Grenze von 50 MW erscheine damit als sachlich gerechtfertigt. Selbst wenn Art. 31b Abs. 2 StromVV gegen den Grundsatz des staatlichen Handelns nach Treu und Glauben verstossen würde, hätte dies nicht zur Folge, dass diese Verordnungsbestimmung nicht anwendbar wäre. Bei der Festlegung der Rechtsetzungsstufe (Gesetz oder Verordnung) seien die Wichtigkeit, das Flexibilitätsbedürfnis und die Eignung der rechtsetzenden Behörde zu beachten. Das Flexibilitätsbedürfnis lasse eine Regelung auf Verordnungsstufe zu. Bei Art. 31b Abs. 2 StromVV handle es sich um eine Übergangsbestimmung, welche nur für die Jahre 2009 bis 2013 gelte. Betroffen seien etwa 70 Kraftwerke. Die finanzielle Bedeutung sei zwar nicht gering, aber mit 0.45 Rappen/kWh im Verhältnis zu den aktuellen schweizerischen und europäischen Grosshandelspreisen, den mit der Produktion erzielten Erlösen und den Energiepreisen der Endverbraucher mit Grundversorgung von durchschnittlich 8 Rappen/kWh vertretbar. Hinzu komme, dass beim Fehlen einer gesetzlichen Regelung die Exekutive kraft ihrer Kompetenz zur Regelung des Inkrafttretens auch das Übergangsrecht umfassend ordnen könne. Der politische Wille des Parlaments sei gewesen, die Tariferhöhungen rückgängig zu machen, insbesondere im Bereich der SDL. Um diesen politischen Willen umzusetzen, habe der Bundesrat am 12. Dezember 2008 eine Revision der StromVV verabschiedet. Art. 31b Abs. 2 StromVV beruhe auf einem breiten Konsens.</w:t>
      </w:r>
    </w:p>
    <w:p>
      <w:r>
        <w:rPr>
          <w:b/>
        </w:rPr>
        <w:t>E. 5.3</w:t>
      </w:r>
    </w:p>
    <w:p>
      <w:r>
        <w:t>Nach dem Grundsatz der Gesetzmässigkeit bedarf jedes staatliche Handeln einer gesetzlichen Grundlage (Art. 5 Abs. 1 der Bundesverfassung der Schweizerischen Eidgenossenschaft vom 18. April 1999 [BV, SR 101]). Werden Rechtssetzungskompetenzen des Gesetzgebers auf den Verordnungsgeber (im Bund insbesondere an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Pierre Tschannen, in: Die schweizerische Bundesverfassung - Kommentar [Kommentar BV], Ehrenzeller/Mastronardi/Schweizer/ Vallender [Hrsg.], 2. Aufl., Zürich 2008, Rz. 34 zu Art. 164; Thomas Sägesser, in: Kommentar BV, Rz. 17 zu Art. 182).</w:t>
      </w:r>
    </w:p>
    <w:p>
      <w:r>
        <w:rPr>
          <w:b/>
        </w:rPr>
        <w:t>E. 5.3.1</w:t>
      </w:r>
    </w:p>
    <w:p>
      <w:r>
        <w:t>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A-1751/2006 vom 25. März 2009 E. 2.2). Delegiert das Gesetz beispielsweise die Kompetenz zur Festlegung einer Abgabe an den Verordnungsgeber, so muss es zumindest den Kreis der Abgabepflichtigen, den Gegenstand und die Bemessungsgrundlagen der Abgabe selber festlegen (Urteil des Bundesgerichts 2C_729/2008 vom 3. März 2009 E. 3.1 mit Hinweisen, publiziert in: Schweizerisches Zentralblatt für Staats- und Verwaltungsrecht [ZBl] 2010, S. 280 ff.).</w:t>
      </w:r>
    </w:p>
    <w:p>
      <w:r>
        <w:rPr>
          <w:b/>
        </w:rPr>
        <w:t>E. 5.3.2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Bundesverwaltungsgerichts A-1751/2006 vom 25. März 2009 E. 2.4).</w:t>
      </w:r>
    </w:p>
    <w:p>
      <w:r>
        <w:rPr>
          <w:b/>
        </w:rPr>
        <w:t>E. 5.4.1</w:t>
      </w:r>
    </w:p>
    <w:p>
      <w:r>
        <w:t>Der Strompreis für die Stromabnehmer setzt sich aus den Kosten für die Stromproduktion, für die Netznutzung hinsichtlich der Stromübertragung, Stromverteilung und Stromeinspeisung (Stromtransport), den Abgaben an die Gemeinwesen sowie dem Unternehmensgewinn zusammen (Rolf H. Weber/Annja Mannhart, Neues Strompreisrecht Kontrollkriterien und Kontrollmethoden für Elektrizitätstarife sowie Netznutzungstarife und -entgelte, in: ZBl 2008, S. 457). Das Netznutzungsentgelt ist demnach ein Bestandteil des Strompreises. 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Endverbraucher sind Kunden, welche Elektrizität für den eigenen Verbrauch kaufen. Ausgenommen hiervon ist der Elektrizitätsbezug für den Eigenbedarf eines Kraftwerks sowie für den Antrieb von Pumpen in Pumpspeicherkraftwerken (Art. 4 Abs. 1 Bst. b StromVG). Für die Festlegung der Netznutzungstarife ist gemäss Art. 14 Abs. 3 StromVG Folgendes zu beachten: - Die Netznutzungstarife haben einfache Strukturen aufzuweisen und sollen die von den Endverbrauchern verursachten Kosten widerspiegeln (Bst. a). - Die Netznutzungstarife müssen unabhängig von der Distanz zwischen Ein- und Ausspeisepunkt ermittelt werden (Bst. b). - Pro Spannungsebene und Kundengruppe im Netz des Netzbetreibers ist der Netznutzungstarif einheitlich zu gestalten (Bst. c). - Die Einrechnung individuell in Rechnung gestellter Kosten ist nicht zulässig (Bst. d). - Netznutzungstarife haben zu einer effizienten Elektrizitätsverwendung beizutragen (Bst. e). Als anrechenbare Kosten im Sinne von Art. 14 Abs. 1 StromVG gelten die Betriebs- und Kapitalkosten eines sicheren, leistungsfähigen und effizienten Netzes. Sie beinhalten einen angemessenen Betriebsgewinn. Als Betriebskosten gelten die Kosten für die mit dem Betrieb der Netze direkt zusammenhängenden Leistungen. Dazu zählen insbesondere die Kosten für SDL sowie für den Unterhalt der Netze (Art. 15 Abs. 1 und 2 StromVG). SDL sind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(Art. 4 Abs. 1 Bst. g StromVG). Gemäss Medienmitteilung des Bundesamtes für Energie (BFE) vom 5. Dezember 2008 zur revidierten StromVV handelt es sich bei den SDL vor allem um Energiereserven, die für Kraftwerksausfälle oder Konsumschwankungen bereitgehalten werden müssen.</w:t>
      </w:r>
    </w:p>
    <w:p>
      <w:r>
        <w:rPr>
          <w:b/>
        </w:rPr>
        <w:t>E. 5.4.2</w:t>
      </w:r>
    </w:p>
    <w:p>
      <w:r>
        <w:t>Für eine transparente Zuweisung der Netzkosten werden die Übertragungs- und Verteilnetze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2009 [MMEE-CH 2009],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 kV betrieben wird (Art. 4 Abs. 1 Bst. h StromVG). Das Verteilnetz umfasst die Netzebenen 2 bis 7 und ist gemäss Art. 4 Abs. 1 Bst. i StromVG ein Elektrizitätsnetz hoher, mittlerer oder niederer Spannung zum Zwecke der Belieferung von Endverbrauchern oder Elektrizitätsversorgungsunternehmen. Art. 14 und Art. 15 StromVG enthalten Bestimmungen zur Berechnung der Netznutzungsentgelte sämtlicher Netzebenen (wenn der Gesetzgeber von den Netzbetreibern spricht, sind damit sowohl die Verteilnetzbetreiber wie auch die Übertragungsnetzbetreiberin gemeint; vgl. Botschaft zur Änderung des Elektrizitätsgesetzes und zum Stromversorgungsgesetz vom 3. Dezember 2004 [Botschaft StromVG], BBl 2005 1646 i.V.m. BBl 2005 1651 und Rolf H. Weber/Brigitta Kratz, Stromversorgungsrecht, Ergänzungsband Elektrizitätswirtschaftsrecht, Bern 2009, § 4 Rz. 25). Nach Art. 15 Abs. 4 Bst. a und b StromVG legt der Bundesrat die Grundlagen fest zur Berechnung der Betriebs- und Kapitalkosten und zur einheitlichen und verursachergerechten Überwälzung der Kosten sowie der Abgaben und Leistungen an Gemeinwesen. Dabei ist der Einspeisung von Elektrizität auf unteren Spannungsebenen Rechnung zu tragen.</w:t>
      </w:r>
    </w:p>
    <w:p>
      <w:r>
        <w:rPr>
          <w:b/>
        </w:rPr>
        <w:t>E. 5.4.3</w:t>
      </w:r>
    </w:p>
    <w:p>
      <w:r>
        <w:t>Die Anlastung von Kosten des Übertragungsnetzes ist in Art. 15 StromVV geregelt. Grundsätzlich werden die Kosten gemäss Abs. 1 bis 3 auf drei Arten überwälzt (vgl. Erläuternder Bericht des BFE zum Vernehmlassungsentwurf der StromVV vom 27. Juni 2007 [Erläuternder Bericht StromVV]): Abs. 1 regelt die individuell in Rechnung gestellten Kosten (individueller SDL-Tarif) und Abs. 2 die von allen rund 900 Netzbetreibern in der Schweiz getragenen Kosten für die SDL (allgemeiner SDL-Tarif). Abs. 3 ist Grundlage für die Überwälzung der Kosten an die rund 40 direkt am Übertragungsnetz angeschlossenen Verteilnetzbetreiber und an die Endverbraucher. Die Beschwerdegegnerin stellt den überwälzten Kostenblock den einzelnen Netzbetreibern und den am Übertragungsnetz direkt angeschlossenen Endverbrauchern gestützt auf einen für die Regelzone Schweiz einheitlichen Netznutzungstarif in Rechnung (Netznutzungstarif). Von Interesse ist im vorliegenden Fall die Überwälzung der Kosten für allgemeine SDL gemäss Art. 15 Abs. 2 Bst. a StromVV (vgl. Ziff. 2 und 3 des Dispositivs sowie E. 4.3.4.3 und 4.3.4.4 der angefochtenen Verfügung) - im Gegensatz zur Überwälzung der Kosten für individuelle SDL gemäss Art. 15 Abs. 1 Bst. a StromVV. Für die Jahre 2009 bis 2013 wurde bezüglich der Überwälzung der allgemeinen SDL die Übergangsbestimmung von Art. 31b StromVV geschaffen. Die fraglichen Bestimmungen lauten wie folgt: - Art. 15 Abs. 2 Bst. a StromVV, "Anlastung von Kosten des Übertragungsnetzes" (in der Fassung vom 12. Dezember 2008, AS 2008 6467, in Kraft seit 1. Januar 2009): 2Sie [Anm.: die nationale Netzgesellschaft, d.h. die Beschwerdegegnerin] stellt den Netzbetreibern und den am Übertragungsnetz direkt angeschlossenen Endverbrauchern entsprechend der bezogenen elektrischen Energie der Endverbraucher folgende Kosten in Rechnung: a.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Die ElCom legt jährlich den Höchstbetrag fest; - Art. 31b StromVV, "Systemdienstleistungen" (eingefügt mit der Revision vom 12. Dezember 2008, AS 2008 6467, in Kraft seit 1. Januar 2009): 1Die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w:t>
      </w:r>
    </w:p>
    <w:p>
      <w:r>
        <w:rPr>
          <w:b/>
        </w:rPr>
        <w:t>E. 6</w:t>
      </w:r>
    </w:p>
    <w:p>
      <w:r>
        <w:t>Die Beschwerdeführerin bestreitet, dass ihr gestützt auf Art. 31b Abs. 2 StromVV Kosten für allgemeine SDL angelastet werden können. Das StromVG (insbes. dessen Art. 14) biete hierfür keine genügende gesetzliche Grundlage. Die diesbezüglich erforderlichen Abklärungen, wer in Bezug auf das Netznutzungsentgelt Zahlungspflichtiger ist, was unter den individuell in Rechnung gestellten Kosten gemäss Art. 14 Abs. 3 Bst. d StromVG zu verstehen ist und was die Gesetzesdelegation gemäss Art. 15 Abs. 4 Bst. b StromVG umfasst, hat das Bundesverwaltungsgericht bereits angestellt: In seinem 1. Piloturteil (A-2607/2009) zu den Strompreisen 2009 vom 8. Juli 2010, welches rechtskräftig geworden und amtlich publiziert ist (BVGE 2010/49), hat es die vorstehend aufgeworfenen Rechtsfragen als materieller Hauptteil in den E. 8 bis 12 schon beantwortet. Es liegen hier keine zusätzlichen Gesichtspunkte vor, die noch einer separaten Prüfung bedürften. Nachfolgend werden der Vollständigkeit halber und mit Blick auf den Kostenteil und das Dispositiv einzig die auf die vorliegende Situation angepassten Schlussfolgerungen des Bundesverwaltungsgerichts, wie sie im erwähnten Grundsatzurteil gezogen worden sind, wiedergegeben.</w:t>
      </w:r>
    </w:p>
    <w:p>
      <w:r>
        <w:rPr>
          <w:b/>
        </w:rPr>
        <w:t>E. 6.1</w:t>
      </w:r>
    </w:p>
    <w:p>
      <w:r>
        <w:t>Die fragliche Gesetzesdelegation ist in einem Gesetz im formellen Sinn enthalten (Art. 15 Abs. 4 Bst. b StromVG), beschränkt sich auf die Überwälzung der Kosten und damit auf ein bestimmtes, genau umschriebenes Sachgebiet. Sodann sind die wichtigen Regelungen - wie insbesondere die Bestimmung des grundsätzlich zahlungspflichtigen Endverbrauchers - im StromVG selber enthalten (Art. 14 und Art. 15 StromVG). Der Gesetzgeber hat somit nicht etwa in verfassungswidriger Weise dem Verordnungsgeber die Kompetenz übertragen, betreffend die nicht individuell anrechenbaren Kosten neue Zahlungspflichtige einzuführen, sondern an ihn lediglich die Aufgabe delegiert, die Überwälzung der Kosten auf den Endverbraucher zu regeln. Diese Gesetzesdelegation ist zulässig (vgl. nebst vorne E. 5.3.1 f. auch Botschaft StromVG, BBl 2005 1681). Das Bundesverwaltungsgericht kann deshalb Art. 31b StromVV uneingeschränkt auf seine Gesetz- und Verfassungsmässigkeit überprüfen.</w:t>
      </w:r>
    </w:p>
    <w:p>
      <w:r>
        <w:rPr>
          <w:b/>
        </w:rPr>
        <w:t>E. 6.2</w:t>
      </w:r>
    </w:p>
    <w:p>
      <w:r>
        <w:t>Art. 31b Abs. 2 StromVV belastet die Betreiber von Kraftwerken mit einer elektrischen Leistung von mindestens 50 MW mit dem Teil der Kosten der SDL, der mit dem nach Art. 31b Abs. 1 StromVV festgelegten Tarif nicht gedeckt werden kann. Art. 31b Abs. 1 StromVV betrifft die allgemeinen SDL, weshalb den Betreibern von Kraftwerken mit Art. 31b Abs. 2 StromVV Kosten für allgemeine SDL auferlegt werden. Diese sind als nicht individuell anrechenbare Kosten Teil des Netznutzungsentgelts. Auch wenn Art. 31b Abs. 2 StromVV bestimmt, dass den Kraftwerken die Kosten für allgemeine SDL gemäss ihrem Anteil an der Bruttoenergieerzeugung individuell in Rechnung zu stellen sind, ändert dies nichts daran, dass es sich bei den Kosten für allgemeine SDL nicht um individuelle Kosten handelt. Gemäss dem Konzept des StromVG können aber nur direkt am Übertragungsnetz angeschlossene Endverbraucher oder in einem ersten Schritt Verteilnetzbetreiber, welche die Möglichkeit haben, die Kosten der allgemeinen SDL auf nicht direkt am Übertragungsnetz angeschlossene Endverbraucher (ev. über einen weiteren Verteilnetzbetreiber) zu überwälzen, mit Kosten für allgemeine SDL belastet werden. Mit andern Worten ist eine Überwälzung der Kosten für allgemeine SDL jeweils nur dort gewährleistet und zulässig, wo vertragliche Beziehungen zwischen den einzelnen Akteuren betreffend die Netznutzung bestehen (Übertragungsnetzbetreiber und direkt am Übertragungsnetz angeschlossene Endverbraucher, Übertragungsnetzbetreiber und Verteilnetzbetreiber, Verteilnetzbetreiber und Verteilnetzbetreiber sowie Verteilnetzbetreiber und Endverbraucher). Die Betreiber von Kraftwerken können die Kosten für die allgemeinen SDL - im Gegensatz zu den Verteilnetzbetreibern - nicht an die Endverbraucher überwälzen, da zwischen den Betreibern von Kraftwerken und den Endverbrauchern keine vertragliche Beziehung betreffend die Netznutzung besteht (vgl. MMEE-CH 2009, Ziff. 2.3, insbesondere Ziff. 2.3.2). Indem Art. 31b Abs. 2 StromVV neu auch Betreiber von Kraftwerken mit einer elektrischen Leistung von mindestens 50 MW mit Kosten für allgemeine SDL individuell belastet, verstösst er somit gegen das Ausspeiseprinzip von Art. 14 Abs. 2 StromVG. Zudem ist die Bestimmung, wer das Netznutzungsentgelt letztlich zu entrichten hat, eine wichtige rechtsetzende Bestimmung im Sinne von Art. 164 Abs. 1 BV und muss bzw. müsste (bei einer abweichenden Neuformulierung) zwingend im formellen Gesetz verankert sein. Art. 31b Abs. 2 StromVV ist demnach gesetz- und verfassungswidrig und kann nicht zur Anwendung gelangen.</w:t>
      </w:r>
    </w:p>
    <w:p>
      <w:r>
        <w:rPr>
          <w:b/>
        </w:rPr>
        <w:t>E. 6.3</w:t>
      </w:r>
    </w:p>
    <w:p>
      <w:r>
        <w:t>Das Argument der Vorinstanz, es sei aufgrund von Art. 14 Abs. 3 Bst. d StromVG zulässig, den Kraftwerken individuell Kosten anzulasten, ist nicht stichhaltig. Diese Aussage ist zwar korrekt, verkennt aber, dass es im vorliegenden Fall nicht um die Anlastung von individuellen Kosten, sondern um die Belastung der Kraftwerke mit allgemeinen SDL im Sinne von Art. 15 Abs. 2 Bst. a bzw. Art. 31b StromVV geht. Diese allgemeinen SDL sind als Betriebskosten Teil des Netznutzungsentgelts (Art. 14 Abs. 1 i.V.m. Art. 15 Abs. 1 und 2 StromVG). Die von der Vorinstanz angeführten individuell in Rechnung gestellten Kosten gemäss Art. 14 Abs. 3 Bst. d StromVG sind dagegen gerade nicht Bestandteil des Netznutzungsentgelts.</w:t>
      </w:r>
    </w:p>
    <w:p>
      <w:r>
        <w:rPr>
          <w:b/>
        </w:rPr>
        <w:t>E. 6.4</w:t>
      </w:r>
    </w:p>
    <w:p>
      <w:r>
        <w:t>Weiter bringt die Vorinstanz vor, dass auch Kraftwerke einen Einfluss auf den sicheren Netzbetrieb hätten. Falle ein Kraftwerk aus, müsse Regelenergie ins Elektrizitätsnetz eingespeist werden. Es entspreche dem Grundsatz der Verursachergerechtigkeit, dass diese Kosten individuell angelastet würden. Werde die Regelleistung ausschliesslich von den Endverbrauchern bezahlt, habe der Kraftwerksbetreiber keinen Anreiz, Ausfälle zu vermeiden. Auch das Flexibilitätsbedürfnis lasse eine Regelung auf Verordnungsstufe zu. Da es sich bei Art. 31b Abs. 2 StromVV um eine befristete Übergangsbestimmung handle, sei der Eingriff weniger intensiv. Zudem beruhe er auf einem breiten Konsens. Diese Ausführungen der Vorinstanz sind zwar allesamt nachvollziehbar. So trifft es insbesondere zu, dass Sinn und Zweck von Art. 31b StromVV sein sollte, die Kosten für SDL verursachergerecht zu verrechnen, damit die angekündigten Strompreiserhöhungen gedämpft werden könnten (vgl. Medienmitteilung des BFE vom 5. Dezember 2008). Sie ändern jedoch nichts an der Tatsache, dass für neue Zahlungspflichtige bzw. die Einführung einer neuen Kategorie von Zahlungspflichtigen des Netznutzungsentgelts gestützt auf Art. 164 Abs. 1 BV eine Grundlage im formellen Gesetz erforderlich ist (vgl. vorne E. 6.2). Ein Abweichen vom Erfordernis der Gesetzmässigkeit aus Gründen der Praktikabilität - das BFE hält in seiner Medienmitteilung vom 5. Dezember 2008 fest, die Massnahmen gemäss revidierter StromVV seien "einfach zu vollziehen" und würden zu einer "kurzfristig wirksamen Strompreisreduktion" führen - ist nicht zulässig. Wie bereits erwähnt, hat der Gesetzgeber in Art. 15 Abs. 4 Bst. b StromVG nicht etwa den Verordnungsgeber in verfassungswidriger Weise ermächtigt, in Bezug auf das Netznutzungsentgelt zusätzliche Zahlungspflichtige neben den Endverbrauchern gemäss Art. 14 Abs. 2 StromVG festzulegen. Die ElCom bringt mit Betonung auf den Charakter von Art. 31b StromVV als Übergangsbestimmung schliesslich noch vor, die Exekutive könne beim Fehlen einer gesetzlichen Regelung kraft ihrer Kompetenz zur Regelung des Inkrafttretens auch das Übergangsrecht umfassend ordnen und verweist dazu auf BGE 106 Ia 256 f. Auch daraus kann die Vorinstanz jedoch nichts zu ihren Gunsten ableiten, da der Verordnungsgeber im vorliegenden Fall über seine ihm übertragene Kompetenz zur Regelung der Überwälzung der Kosten in Art. 15 Abs. 4 Bst. b StromVG hinausgegangen ist und mit den Betreibern von Kraftwerken in der StromVV neue Zahlungspflichtige bzw. eine neue Kategorie von Zahlungspflichtigen betreffend das Netznutzungsentgelt eingeführt hat. Dagegen enthält die Übergangsregelung in BGE 106 Ia 254 E. 2c keine grundsätzlichen Rechtssätze im Sinne von Art. 164 Abs. 1 BV.</w:t>
      </w:r>
    </w:p>
    <w:p>
      <w:r>
        <w:rPr>
          <w:b/>
        </w:rPr>
        <w:t>E. 6.5</w:t>
      </w:r>
    </w:p>
    <w:p>
      <w:r>
        <w:t>Das Bundesverwaltungsgericht kommt zum Schluss, dass die Beschwerdeführerin in ihrer Eigenschaft als Betreiberin (zumindest) eines Kraftwerks mit einer elektrischen Leistung von mindestens 50 MW nicht mit Kosten für allgemeine SDL belastet werden kann. Deshalb ist Ziff. 3 des Dispositivs der angefochtenen Verfügung, soweit sie betreffend, aufzuheben. Da die Belastung von Kraftwerken mit Kosten für allgemeine SDL aufgrund der heutigen Gesetzesgrundlagen an sich nicht zulässig ist, erübrigt sich die Prüfung, ob die Grenze von 50 MW sachlich gerechtfertigt sein könnte bzw. wie die entsprechenden Berechnungen vorzunehmen wären und ob das Kraftwerk Schiffenen diese Grenze auch erreicht oder nicht.</w:t>
      </w:r>
    </w:p>
    <w:p>
      <w:r>
        <w:rPr>
          <w:b/>
        </w:rPr>
        <w:t>E. 7</w:t>
      </w:r>
    </w:p>
    <w:p>
      <w:r>
        <w:t>Die Beschwerdeführerin stellt im Zusammenhang mit dem Hauptantrag auf Aufhebung von Dispositiv-Ziff. 3 der angefochtenen Verfügung den Nebenantrag, die bereits von ihr bezahlten Beträge bzw. Entschädigungen - offensichtlich sind die für den Zeitraum ab 1. Januar 2009 bezahlten SDL-Beträge von 0.45 Rp./kWh gemeint - seien zurückzuerstatten. Weil sich diese Folge allein aus der Gutheissung des Hauptantrags noch nicht direkt (wohl aber indirekt) ergibt und es sich dabei zudem um ein Leistungsbegehren handelt, ist das Interesse der Beschwerdeführerin an diesem Nebenantrag gegeben. Angesichts des kompletten Ausfalls der Anspruchsgrundlage von Art. 31b Abs. 2 StromVV bzw. der ersatzlosen Aufhebung von Dispositiv-Ziff. 3 der vorinstanzlichen Verfügung besteht effektiv ein vollständiger Rückzahlungsanspruch der Beschwerdeführerin auf SDL-Beträge, die sie wegen des Entzugs der aufschiebenden Wirkung der Beschwerde gemäss Dispositiv-Ziff. 12 der angefochtenen Verfügung bereits bezahlt hat. Unter welchen genauen Modalitäten (bspw. eine allfällige Verzinslichkeit der Forderung) dieser abgewickelt und erfüllt wird, muss hier nicht festgehalten werden; die Beschwerdeführerin stellt diesbezüglich keine detaillierteren Begehren und macht - wie im Übrigen auch die anderen Parteien - keinerlei Ausführungen. Es geht ihr einzig um die Rückzahlung als solche. Diese kann gegenüber der swissgrid als Rechnungsstellerin und Partei im vorliegenden Verfahren grundsätzlich zugunsten der Beschwerdeführerin auch verfügt werden, ohne auf weitere Einzelheiten eingehen zu müssen. Auch dieser Antrag der Beschwerdeführerin ist damit gutzuheissen.</w:t>
      </w:r>
    </w:p>
    <w:p>
      <w:r>
        <w:rPr>
          <w:b/>
        </w:rPr>
        <w:t>E. 8</w:t>
      </w:r>
    </w:p>
    <w:p>
      <w:r>
        <w:t>Zusammenfassend ist festzuhalten, dass Art. 31b Abs. 2 StromVV gegen Art. 164 Abs. 1 BV und Art. 14 Abs. 2 StromVG verstösst, mit andern Worten verfassungs- und gesetzwidrig ist und damit nicht angewendet werden kann. Die Beschwerde der Beschwerdeführerin ist somit gutzuheissen und Ziff. 3 des Dispositivs der angefochtenen Verfügung vom 6. März 2009 - soweit die Beschwerdeführerin betreffend - aufzuheben. Ferner ist die Rückerstattung der von der swissgrid auf Anweisung der ElCom bei der Beschwerdeführerin erhobenen und von ihr zu viel bezahlten SDL-Beträge zu verfügen.</w:t>
      </w:r>
    </w:p>
    <w:p>
      <w:r>
        <w:rPr>
          <w:b/>
        </w:rPr>
        <w:t>E. 9</w:t>
      </w:r>
    </w:p>
    <w:p>
      <w:r>
        <w:t>Das Bundesverwaltungsgericht auferlegt die Verfahrenskosten grundsätzlich der unterliegenden Partei (Art. 63 Abs. 1 VwVG). Da die Beschwerdeführerin wie auch die Beschwerdegegnerin obsiegt, während der unterliegenden Vorinstanz nach Art. 63 Abs. 2 VwVG keine Verfahrenskosten auferlegt werden können, werden keine Verfahrenskosten erhoben. Demnach ist der von der Beschwerdeführerin geleistete Kostenvorschuss von Fr. 1'500.-- nach Eintritt der Rechtskraft dieses Urteils vollumfänglich zurückzuerstatten. Parteientschädigungen werden mangels anwaltlicher Vertretung aller Parteien keine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