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A-2601/2012 vom 3. Januar 2013</w:t>
      </w:r>
    </w:p>
    <w:p>
      <w:r>
        <w:t>Bundesverwaltungsgericht, 2013-01-03, DE</w:t>
      </w:r>
    </w:p>
    <w:p>
      <w:r>
        <w:rPr>
          <w:b/>
        </w:rPr>
        <w:t xml:space="preserve">Quelle: </w:t>
      </w:r>
      <w:r>
        <w:t>https://mcp.opencaselaw.ch/entscheid/bvger_A-2601_2012</w:t>
      </w:r>
    </w:p>
    <w:p>
      <w:r>
        <w:t>FR: TAF A-2601/2012 du 3 janvier 2013</w:t>
      </w:r>
    </w:p>
    <w:p>
      <w:r>
        <w:t>IT: TAF A-2601/2012 del 3 gennaio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Auf die im Übrigen form- und fristgerecht eingereichte Beschwerde ist einzutreten. Soweit das VGG nichts anderes bestimmt, richtet sich gemäss dessen Art. 37 das Verfahren nach dem VwVG.</w:t>
      </w:r>
    </w:p>
    <w:p>
      <w:r>
        <w:rPr>
          <w:b/>
        </w:rPr>
        <w:t>E. 1.2.1</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vor der nächsthöheren Instanz anfechtbar ist (BGE 134 II 124 E. 1.3; Urteil des Bundesgerichts 2C_258/2008 vom 27. März 2009 E. 3.3; André Moser/Michael Beusch/Lorenz Kneubühler, Prozessieren vor dem Bundesverwaltungsgericht, Basel 2008, Rz. 3.196).</w:t>
      </w:r>
    </w:p>
    <w:p>
      <w:r>
        <w:rPr>
          <w:b/>
        </w:rPr>
        <w:t>E. 1.2.2</w:t>
      </w:r>
    </w:p>
    <w:p>
      <w:r>
        <w:t>Materielle Rechtskraft bedeutet Verbindlichkeit eines (formell rechtskräftigen) Entscheids für spätere Verfahren. Sie bezieht sich grundsätzlich nur auf das Dispositiv und nicht auf die rechtliche Begründung und die tatsächlichen Feststellungen (BGE 121 III 474 E. 2, 4a). Die rechtliche Bindungswirkung gilt für die Parteien und Beigeladene des rechtskräftig erledigten Verfahrens sowie deren Rechtsnachfolger (Fritz Gygi, Bundesverwaltungsrechtspflege, 2. Aufl., Bern 1983, S. 323; Madeleine Camprubi, in Auer/Müller/Schindler [Hrsg.], Kommentar zum Bundesgesetz über das Verwaltungsverfahren, Zürich/St. Gallen 2008, N. 24 zu Art. 61). Ein Rückweisungsentscheid im Sinn eines anfechtbaren Endentscheids (E. 1.2.1)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Urteil des Bundesgerichts 8C_272/2011 vom 11. November 2011 E. 1.3). Die Behörde, an die zurückgewiesen wird, die Partei und auch das mit der Sache nochmals befasste Gericht selbst sind an die Erwägungen im Rückweisungsentscheid gebunden. Die rechtliche Beurteilung, mit der die Zurückweisung begründet wird, muss der neuen Entscheidung zugrunde gelegt werden (Urteil des Bundesgerichts 4C.46/2007 vom 17. April 2007 E. 3.1 mit Hinweisen; BGE 122 I 250 E. 2, 116 II 220 E. 4a; Moser/Beusch/Kneubühler, a.a.O., Rz. 3.196; Philippe Weissenberger, in Waldmann/Weissen­berger [Hrsg.], Praxiskommentar zum Bundesgesetz über das Verwaltungsverfahren, Zürich etc. 2009, N. 28 zu Art. 61). Eine freie Überprüfung durch das ein zweites Mal angerufene Gericht ist nur noch möglich betreffend jene Punkte, die im Rückweisungsentscheid nicht entschieden wurden oder bei Vorliegen neuer Sachumstände (BGE 135 III 334 E. 2, 131 III 91 E. 5.2; Urteile des Bundesverwaltungsgerichts A 1165/2011 vom 20. September 2012 E. 1,2, A 1998/2011 vom 8. Juni 2012 E. 1.2, A 7643/2010 vom 31. Januar 2012 E. 3.2; zum Ganzen: Urteil des Bundesverwaltungsgerichts A-7745/2010 vom 9. Juni 2011 E. 1.2.2).</w:t>
      </w:r>
    </w:p>
    <w:p>
      <w:r>
        <w:rPr>
          <w:b/>
        </w:rPr>
        <w:t>E. 1.2.3</w:t>
      </w:r>
    </w:p>
    <w:p>
      <w:r>
        <w:t>Soweit eine solche freie Prüfung möglich ist, kann das Bundesverwaltungsgericht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Moser/Beusch/Kneubühler, a.a.O., Rz. 2.149). Im Beschwerdeverfahren gilt die Untersuchungsmaxime, wonach der Sachverhalt von Amtes wegen festzustellen ist (vgl. zum Ganzen: Alfred Kölz, Prozessmaximen im schweizerischen Verwaltungsprozess, Zürich 1974, S. 93 ff.) und der Grundsatz der Rechtsanwendung von Amtes wegen (Art. 62 Abs. 4 VwVG). Das Bundesverwaltungsgericht ist verpflichtet, auf den festgestellten Sachverhalt die richtige Rechtsnorm anzuwenden ([statt vieler] Urteile des Bundesverwaltungsgerichts A-6053/2010 vom 10. Januar 2011 E. 1.3, A-7789/2009 vom 21. Januar 2010 E. 1.3).</w:t>
      </w:r>
    </w:p>
    <w:p>
      <w:r>
        <w:rPr>
          <w:b/>
        </w:rPr>
        <w:t>E. 2.1</w:t>
      </w:r>
    </w:p>
    <w:p>
      <w:r>
        <w:t>Der Anspruch auf rechtliches Gehör ergibt sich aus Art. 29 Abs. 2 der Bundesverfassung der Schweizerischen Eidgenossenschaft vom 18. April 1999 (BV, SR 101). Er umfasst eine Anzahl verschiedener verfassungsrechtlicher Verfahrensgarantien (vgl. zum Ganzen auch Ulrich Häfelin/Georg Müller/Felix Uhlmann, Allgemeines Verwaltungsrecht, 6. Aufl., Zürich/St. Gallen 2010, Rz. 1672 ff.; Jörg Paul Müller/Markus Schefer, Grundrechte in der Schweiz, 4. Aufl., Bern 2008, S. 846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Des Weiteren leitet sich aus dem Grundsatz des rechtlichen Gehörs die Pflicht der Behörden ab, alle vorgebrachten rechtserheblichen Anträge zu prüfen (Urteil des Bundesgerichts 5A.15/2002 vom 27. September 2002 E. 3.2) und ihre Entscheide zu begründen (BGE 123 I 31 E. 2c;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(Urteil des Bundesgerichts 1C_436/2009 vom 3. Februar 2010 E. 3.2; BGE 133 III 439 E. 3.3, 129 I 232 E. 3.2, 126 I 97 E. 2b; BVGE 2009/60 E. 2.2.2; vgl. auch Lorenz Kneubühler, Die Begründungspflicht, Bern 1998, S. 22 ff.). Die Verletzung des Anspruchs auf rechtliches Gehör stellt eine formelle Rechtsverweigerung dar (BGE 135 I 6 E. 2.1, 132 I 249 E. 5).</w:t>
      </w:r>
    </w:p>
    <w:p>
      <w:r>
        <w:rPr>
          <w:b/>
        </w:rPr>
        <w:t>E. 2.2</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Verletzung der Begründungspflicht; vgl. Häfelin/Müller/Uhlmann, a.a.O., Rz. 1710)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129 I 129 E. 2.2.3, 126 V 130 E. 2b, 126 I 68 E. 2; Urteil des Bundesgerichts 1A.234/2006 vom 8. Mai 2007 E. 2.2; BVGE 2009/53; Urteile des Bundesverwaltungsgerichts B 6272/2008 vom 20. Oktober 2010 E. 3.1, A-1681/2006 vom 13. März 2008 E. 2.4, A-1737/2006 vom 22. August 2007 E. 2.2; Häfelin/Müller/Uhlmann, a.a.O., Rz. 1710).</w:t>
      </w:r>
    </w:p>
    <w:p>
      <w:r>
        <w:rPr>
          <w:b/>
        </w:rPr>
        <w:t>E. 3</w:t>
      </w:r>
    </w:p>
    <w:p>
      <w:r>
        <w:t>Im vorliegenden Fall hiess das Bundesverwaltungsgericht mit Urteil A 1989/2011 vom 4. Januar 2012 die Beschwerde im Sinn der Erwägungen gut, hob den angefochtenen Einspracheentscheid auf und wies die Sache zu neuem Entscheid an die ESTV zurück. Zur Begründung legte das Bundesverwaltungsgericht insbesondere dar, die ESTV habe sich bei ihrer Schätzung offenbar ausschliesslich auf die Zahlen eines einzigen (anderen) Betriebs gestützt, aber nicht dargetan, dass dieser mit dem vorliegenden vergleichbar sei. Die ESTV führe lediglich (zumindest implizit) aus, bei diesem Vergleichsbetrieb würden «mehrheitlich» klassische Massagen angeboten und es gelte ein Stundenpreis von Fr. 65.-- bis Fr. 75.--. Diese Angaben seien ungenügend. Dies müsse umso mehr gelten, als die ESTV bei der Ermittlung ihrer Erfahrungszahl - soweit erkennbar - nur einen Betrieb berücksichtigt habe. Sie habe demnach ihre Schätzung und damit ihren Einspracheentscheid unzureichend begründet (vgl. E. 5.2.3 des genannten Urteils). Im Weiteren führte das Bundesverwaltungsgericht aus, als Folge der Verletzung der Begründungspflicht sei der Einspracheentscheid der ESTV vom 2. März 2011 aufzuheben und die Sache an die ESTV zurückzuweisen. Diese habe eine Schätzung nach pflichtgemässem Ermessen vorzunehmen und ihren neu zu treffenden Einspracheentscheid in genügender Weise zu begründen (vgl. E. 5.3 des genannten Urteils).</w:t>
      </w:r>
    </w:p>
    <w:p>
      <w:r>
        <w:rPr>
          <w:b/>
        </w:rPr>
        <w:t>E. 3.1</w:t>
      </w:r>
    </w:p>
    <w:p>
      <w:r>
        <w:t>Beim Urteil des Bundesverwaltungsgerichts A-1989/2011 vom 4. Januar 2012 handelt es sich um einen Rückweisungsentscheid. Dieser wurde infolge unterlassener Anfechtung formell und damit auch materiell rechtskräftig. Da das Dispositiv des Entscheids ausdrücklich auf die Erwägungen verweist, wurden diese zu dessen Bestandteil und haben, soweit sie zum Streitgegenstand gehören, an der Rechtskraft teil (E. 1.2.2). Dies gilt u.a. für die Bestimmung des mehrwertsteuerrechtlichen Leistungserbringers in E. 4 bis E. 4.6 des Rückweisungsentscheids. Darin hat das Bundesverwaltungsgericht ausgeführt, dem Beschwerdeführer seien als Inhaber u.a. der Einzelunternehmung "Y._______" die Umsätze aus den Massagen zuzurechnen. Soweit dieser im vorliegenden Beschwerdeverfahren erneut die Zurechnung der Umsätze bestreitet, kann demnach - aufgrund der Rechtskraft der betreffenden Erwägungen - auf seine Einwände nicht mehr eingegangen werden. Im Weiteren enthält der Rückweisungsentscheid in E. 5.2.3 und E. 5.3 die verbindliche Anweisung an die ESTV, den neu zu treffenden Einspracheentscheid in genügender Weise zu begründen. In diesem Zusammenhang führte das Bundesverwaltungsgericht in E. 5.2.3 explizit aus, die ESTV habe es unterlassen, zu erläutern, dass der zum Vergleich herangezogene Betrieb nicht nur der gleichen Branche zuzurechnen, sondern auch in anderer Hinsicht vergleichbar sei, wie zum Beispiel betreffend Standort, Betriebsgrösse, Kundenkreis usw. Auch diese Erwägungen sind in Rechtskraft erwachsen.</w:t>
      </w:r>
    </w:p>
    <w:p>
      <w:r>
        <w:rPr>
          <w:b/>
        </w:rPr>
        <w:t>E. 3.2</w:t>
      </w:r>
    </w:p>
    <w:p>
      <w:r>
        <w:t>Im neu erlassenen Einspracheentscheid vom 28. März 2012 legte die ESTV zur Begründung der verwendeten Erfahrungszahl bzw. der Vergleichbarkeit des zur Schätzung herangezogenen Betriebs indessen bloss dar, sie halte daran fest, "dass die Mieteinnahmen 27% am Gesamtumsatz ausmachen. Mangels fehlenden Datenmaterials kann sich die ESTV nur auf einen Betrieb abstützen. Dieser vermietete ebenfalls lediglich Räumlichkeiten an Masseurinnen; der Preis für eine einstündige Massage betrug Fr. 65.-- bis Fr. 75.--." Die ESTV hat demnach erneut - trotz expliziter Anweisung durch das Bundesverwaltungsgericht - nicht ausgeführt, inwiefern der bei der Umsatzschätzung herangezogene Betrieb mit Bezug auf die Branche, Standort, Betriebsgrösse und Kundenkreis usw. vergleichbar ist. Die ESTV hat ihre Schätzung somit erneut ungenügend begründet. Bereits aus diesem Grund ist der Einspracheentscheid vom 28. März 2012 aufzuheben. Es ist Aufgabe der ESTV eine Schätzung nach pflichtgemässem Ermessen durchzuführen. Dazu gehört auch, dass die vorgenommene Ermessenseinschätzung genügend begründet wird, denn nur so kann überhaupt nachvollzogen und geprüft werden, ob die Schätzung pflichtgemäss erfolgt ist (Urteil des Bundesverwaltungsgerichts A-852/2012 vom 27. September 2012 E. 3.4.1). Sofern die ESTV nicht über das erforderliche Datenmaterial verfügt, hat sie dieses zu beschaffen. Falls ein Rückgriff auf vergleichbare Betriebe bzw. Erfahrungszahlen tatsächlich nicht möglich ist, muss mit weiteren Abklärungen versucht werden, die Verhältnisse des Einzelfalls zu eruieren (Urteil des Bundesverwaltungsgerichts A 852/2012 vom 27. September 2012 E. 3.5.1). Im Gegensatz zum Sachverhalt, der dem Urteil des Bundesverwaltungsgerichts A 852/2012 vom 27. September 2012 zugrunde lag, hat die ESTV im vorliegenden Fall zwar einen Rückgriff auf einen (einzigen) - aus ihrer Sicht - vergleichbaren Betrieb vorgenommen. Sie hat es indessen unterlassen, nachvollziehbar darzulegen, weshalb gerade dieser Betrieb mit demjenigen des Beschwerdeführers vergleichbar sein soll. Im Übrigen lassen die von der ESTV erteilten spärlichen Informationen über den zur Umsatzschätzung herangezogenen Vergleichsbetrieb im Gegenteil darauf schliessen, dass die "Y._______" mit jenem nur sehr beschränkt vergleichbar ist. Zunächst können die beiden Betriebe nicht der gleichen Branche bzw. dem gleichen Gewerbe zugeordnet werden. Die "Y._______" hat u.a. erotische Massagen angeboten, der von der ESTV herangezogene Vergleichsbetrieb dagegen offenbar nicht. In der Folge liegt die Annahme nahe, dass sich auch die Preisstruktur nicht vergleichen lässt. Dieser Umstand bestätigt der Eintrag eines Kunden der "Y._______" im elektronischen Gästebuch vom 19. November 2002 (vgl. amtl. Akten Nr. 31). Der betreffende Kunde führt aus, er habe für eine "kombinierte Massage", die 50 bis 60 Minuten gedauert habe, Fr. 150.-- bezahlt. Die von der ESTV bei ihrer Schätzung berücksichtigten Preise von Fr. 65.-- bzw. Fr. 75.-- sind damit keineswegs repräsentativ.</w:t>
      </w:r>
    </w:p>
    <w:p>
      <w:r>
        <w:rPr>
          <w:b/>
        </w:rPr>
        <w:t>E. 3.3</w:t>
      </w:r>
    </w:p>
    <w:p>
      <w:r>
        <w:t>Die ESTV bringt in ihrem Einspracheentscheid vom 28. März 2012 zudem eine «Kontrollrechnung» vor, die aufzeigen soll, dass ihre Schätzung «zugunsten» des Beschwerdeführers ausgefallen sei. Nach den Angaben der ESTV hat der Beschwerdeführer im Jahr 2002 Mieteinnahmen von Fr. 26'350.-- erzielt. In der Folge hat die ESTV für dieses Jahr, unter Anwendung ihrer Erfahrungszahl von 27% (d.h. die Mieteinnahmen entsprechen 27% des Umsatzes), einen Umsatz von Fr. 97'593.-- ermittelt (26'350 * 100 / 27). Bei einem angenommen Preis für eine einstündige Massage in der Höhe von Fr. 65.-- bzw. Fr. 75.-- wären - nach den Ausführungen der ESTV - in diesem Jahr 1501 bzw. 1301 Massagen durchgeführt worden. Dies entspreche - bei einer Arbeitswoche mit fünf Tagen - bloss sechs bzw. fünf Massagen pro Tag. Da die "Y._______" jedoch sechs Tage pro Woche geöffnet sei und über fünf Massageräume verfüge, sei es offensichtlich, dass diese Schätzung «zugunsten» des Beschwerdeführers ausgefallen sei. Dem Einwand der ESTV ist zunächst entgegen zu halten, dass es nicht ihre Aufgabe ist, eine Schätzung «zugunsten» des Beschwerdeführers zu machen, sondern eine solche, die der Realität möglichst nahe kommt, nachvollziehbar und begründet ist. Die von der ESTV vorgebrachte «Kontrollrechnung» vermag die mangelhafte Begründung der verwendeten Erfahrungszahl von 27% nicht zu ersetzen. Der Schluss der ESTV, dass die Schätzung «zugunsten» des Beschwerdeführers ausfällt, muss deshalb als reine Mutmassung qualifiziert werden. Die Vorinstanz ist im Übrigen daran zu erinnern, dass eine Umkehr der Beweislast erst dann stattfindet, wenn nicht nur die Voraussetzungen für eine Ermessenseinschätzung nach Art. 60 aMWSTG bzw. Art. 48 aMWSTV gegeben sind, sondern die ESTV zudem die Ermessenseinschätzung pflichtgemäss vorgenommen hat. Die Umkehr der Beweislast darf nicht zur Folge haben, dass die ESTV beliebig von ungestützten Annahmen ausgehen und dem Steuerpflichtigen alsdann zumuten darf, die Unrichtigkeit ihrer Ermessenseinschätzung zu beweisen (Urteil des Bundesverwaltungsgerichts A 852/2012 vom 27. September 2012 E. 2.4).</w:t>
      </w:r>
    </w:p>
    <w:p>
      <w:r>
        <w:rPr>
          <w:b/>
        </w:rPr>
        <w:t>E. 3.4</w:t>
      </w:r>
    </w:p>
    <w:p>
      <w:r>
        <w:t>Die ESTV bringt schliesslich vor, die Ausführungen des Bundesverwaltungsgerichts in seinem Rückweisungsentscheid, sie sei in anderen Ermessenseinschätzungen bei Dienstleisterinnen im Erotikgewerbe praxisgemäss von einem Anteil von 40% bis 45% ausgegangen, den diese den Betreibern des Etablissements abzuliefern hätten, müssten präzisiert werden. Richtigerweise sei sie bei früheren Umsatzschätzungen im Erotikgewerbe praxisgemäss davon ausgegangen, dass die Eintritte 40% der steuerbaren Umsätze ausmachten. Da die "Y._______" keine generelle Eintrittsgebühr verlangt habe, könne diese Erfahrungszahl bei der vorliegenden Schätzung nicht angewendet werden. Die ESTV verzichtete indessen, auf die in E. 5.2.4 des Rückweisungsentscheids zitierte umfangreiche Rechtsprechung einzugehen bzw. zu prüfen, ob es sich bei den zugrundeliegenden Sachverhalten ausschliesslich um Etablissements gehandelt hat, bei denen eine generelle Eintrittsgebühr verlangt worden ist. Letztlich kann diese Frage aber offen bleiben. Die ESTV hat ihre Schätzung ungenügend begründet und es kann bereits deshalb nicht beurteilt werden, ob die von ihr vorgenommene Schätzung oder eine solche aufgrund der erwähnten Erfahrungszahlen von 40% bis 45% sachgerechter ist.</w:t>
      </w:r>
    </w:p>
    <w:p>
      <w:r>
        <w:rPr>
          <w:b/>
        </w:rPr>
        <w:t>E. 3.5</w:t>
      </w:r>
    </w:p>
    <w:p>
      <w:r>
        <w:t>Zusammenfassend hat die ESTV ihre Schätzung und damit ihren Einspracheentscheid - erneut - ungenügend begründet. Als Folge der Verletzung der Begründungspflicht ist der Einspracheentscheid der ESTV vom 28. März 2012 aufzuheben und die Sache an die ESTV zurückzuweisen (vgl. E. 2.2). Sie hat eine Schätzung nach pflichtgemässem Ermessen vorzunehmen und diese bzw. ihren neu zu treffenden Einspracheentscheid in genügender Weise zu begründen. Erst daraufhin findet die Umkehr der Beweislast Anwendung.</w:t>
      </w:r>
    </w:p>
    <w:p>
      <w:r>
        <w:rPr>
          <w:b/>
        </w:rPr>
        <w:t>E. 4</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 des Bundesverwaltungsgerichts A-7809/2010 vom 5. September 2011 E. 4). Der Beschwerdeführer gilt damit als obsiegend, weshalb ihm keine Verfahrenskosten aufzuerlegen sind. Der geleistete Kostenvorschuss von Fr. 3'000.-- wird ihm zurückerstattet. Der unterliegenden Vorinstanz können als Bundesbehörde keine Verfahrenskosten auferlegt werden (Art. 63 Abs. 2 VwVG). Der nicht vertretene Beschwerdeführer hat keinen Anspruch auf Parteientschädigung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