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A-2583/2016 vom 2. März 2017</w:t>
      </w:r>
    </w:p>
    <w:p>
      <w:r>
        <w:t>Bundesverwaltungsgericht, 2017-03-02, DE</w:t>
      </w:r>
    </w:p>
    <w:p>
      <w:r>
        <w:rPr>
          <w:b/>
        </w:rPr>
        <w:t xml:space="preserve">Quelle: </w:t>
      </w:r>
      <w:r>
        <w:t>https://mcp.opencaselaw.ch/entscheid/bvger_A-2583_2016</w:t>
      </w:r>
    </w:p>
    <w:p>
      <w:r>
        <w:t>FR: TAF A-2583/2016 du 2 mars 2017</w:t>
      </w:r>
    </w:p>
    <w:p>
      <w:r>
        <w:t>IT: TAF A-2583/2016 del 2 marzo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29. März 2016)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1.5</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C-7023/2013 vom 2. Juli 2015 E. 2.1).</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3bis BVG ist die jeweilige Vorsorgeeinrichtung verpflichtet, die Auflösung eines Anschlussvertrages der Auffangeinrichtung zu melden. Diese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(Urteile des BVGer A-532/2016 vom 7. Oktober 2016 E. 2.2.2 und A-5081/2014 vom 16. Februar 2016 E. 2.2.2 f.).</w:t>
      </w:r>
    </w:p>
    <w:p>
      <w:r>
        <w:rPr>
          <w:b/>
        </w:rPr>
        <w:t>E. 2.2.3</w:t>
      </w:r>
    </w:p>
    <w:p>
      <w:r>
        <w:t>Dabei liegt es weder an der Ausgleichskasse noch an der Vorinstanz, Nachforschungen zu veranlassen, ob und gegebenenfalls mit welcher Vorsorgeeinrichtung bereits ein Anschlussvertrag bestehen könnte (Urteile des BVGer A-6659/2014 vom 31. März 2016 E. 3.3 und C-3539/2012 vom 7. März 2014 E. 4.1, mit weiteren Hinweisen).</w:t>
      </w:r>
    </w:p>
    <w:p>
      <w:r>
        <w:rPr>
          <w:b/>
        </w:rPr>
        <w:t>E. 2.2.4</w:t>
      </w:r>
    </w:p>
    <w:p>
      <w:r>
        <w:t>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(gültig ab dem 1. Januar 2014 betreffend die Verfügung vom 23. März 2015). Dieses Reglement bildet (auch im vorliegenden Fall) integrierenden Bestandteil der Anschlussverfügung (Urteile des BVGer A-5081/2014 vom 16. Februar 2016 E. 2.2.2 und C-3539/2012 vom 7. März 2014 E. 4.2).</w:t>
      </w:r>
    </w:p>
    <w:p>
      <w:r>
        <w:rPr>
          <w:b/>
        </w:rPr>
        <w:t>E. 3</w:t>
      </w:r>
    </w:p>
    <w:p>
      <w:r>
        <w:t>Im vorliegenden Fall hat die Vorinstanz die Beschwerdeführerin mit Verfügung vom 23. März 2015 zwangsweise rückwirkend per 1. Juli 2014 angeschlossen, da laut Mitteilung der bisherigen Vorsorgeeinrichtung der Anschlussvertrag der Beschwerdeführerin per 30. Juni 2014 aufgelöst worden sei und diese - trotz Weiterbeschäftigung von Personal und entsprechender Aufforderung - innert der gesetzten Frist keinen Nachweis erbracht habe, der einen Anschluss an die Auffangeinrichtung BVG als nicht notwendig habe erscheinen lassen (vgl. Sachverhalt Bst. A.d). Mit Wiedererwägungsverfügung vom 29. März 2016 hat die Vorinstanz den Zwangsanschluss aufgehoben, nachdem die Beschwerdeführerin in ihren Eingaben vom 22. Oktober 2015 und 26. Februar 2016 nachträglich aufgezeigt hat, dass sie ordentlich bei der C._______ Pensionskasse angeschlossen war. Angesichts des dadurch von der Vorinstanz als lückenlos akzeptierten Vorsorgeschutzes der Arbeitnehmenden der Beschwerdeführerin hat sich ein Zwangsanschluss demnach erübrigt, weshalb dessen von der Vorinstanz am 29. März 2016 verfügte Aufhebung - die von den Parteien nicht in Frage gestellt wird - vom Bundesverwaltungsgericht nicht weiter zu überprüfen ist.</w:t>
      </w:r>
    </w:p>
    <w:p>
      <w:r>
        <w:rPr>
          <w:b/>
        </w:rPr>
        <w:t>E. 3.1</w:t>
      </w:r>
    </w:p>
    <w:p>
      <w:r>
        <w:t>Im Streit und zu prüfen bleibt nunmehr die Frage, ob die Vorinstanz der Beschwerdeführerin die Kosten für den Zwangsanschluss in Höhe von Fr. 825.-- und die Kosten für den Erlass der Wiedererwägungsverfügung in Höhe von Fr. 450.-- zu Recht auferlegt hat.</w:t>
      </w:r>
    </w:p>
    <w:p>
      <w:r>
        <w:rPr>
          <w:b/>
        </w:rPr>
        <w:t>E. 3.2</w:t>
      </w:r>
    </w:p>
    <w:p>
      <w:r>
        <w:t>Die Beschwerdeführerin bringt diesbezüglich vor, die Auffangeinrichtung BVG habe sie "von sich aus zwangsweise angeschlossen", ungenügende Abklärungen vorgenommen und durch den "automatische[n] und ungerechtfertigte[n] Anschluss" viele unnötige Stunden Arbeit verursacht (vgl. Sachverhalt Bst. D). Die Vorinstanz wendet ein, die Beschwerdeführerin habe es trotz entsprechender Aufforderung versäumt, auf die Anfrage der Vorinstanz einzugehen und ihren Mitwirkungspflichten nach Art. 9 f. BVV 2 nachzukommen. Erst nach weiteren Abklärungen seitens der Vorinstanz und den zwei Schreiben der Beschwerdeführerin vom 22. Oktober 2015 und 26. Februar 2016 habe sich nachträglich gezeigt, dass tatsächlich alle Arbeitnehmenden versichert gewesen seien (vgl. Sachverhalt Bst. E). Dies sei von der Beschwerdeführerin zu vertreten.</w:t>
      </w:r>
    </w:p>
    <w:p>
      <w:r>
        <w:rPr>
          <w:b/>
        </w:rPr>
        <w:t>E. 3.3</w:t>
      </w:r>
    </w:p>
    <w:p>
      <w:r>
        <w:t>Ausgelöst worden ist das Verfahren durch eine Meldung der bisherigen Vorsorgeeinrichtung, welche die Vorinstanz über die Kündigung des Anschlussvertrages mit der Beschwerdeführerin per 30. Juni 2014 (vgl. Sachverhalt Bst. A.a) in Kenntnis gesetzt hat und so ihrer gesetzlichen Pflicht gemäss Art. 11 Abs. 3bis BVG nachgekommen ist (vgl. E. 2.2.2). Daraufhin hat die Vorinstanz die gesetzlich vorgesehenen Abklärungen bei der C._______ Ausgleichskasse ([Adresse 1]) vorgenommen (vgl. Sachverhalt Bst. A.c). Aus diesen hat sich u.a. ergeben, dass die Beschwerdeführerin noch Ende 2013 die bisherige Vorsorgeeinrichtung als Pensionskasse angegeben hat und dass nach den Unterlagen der Ausgleichskasse im Jahr 2014 weiterhin beitragspflichtiges Personal beschäftigt worden ist. Wenn unter diesen Umständen die Vorinstanz mangels Rückmeldung seitens der Beschwerdeführerin diese androhungsgemäss mittels Verfügung vom 23. März 2015 rückwirkend per 1. Juli 2014 zwangsweise angeschlossen hat, so ist dies bundesrechtskonform und nicht zu beanstanden.</w:t>
      </w:r>
    </w:p>
    <w:p>
      <w:r>
        <w:rPr>
          <w:b/>
        </w:rPr>
        <w:t>E. 3.4</w:t>
      </w:r>
    </w:p>
    <w:p>
      <w:r>
        <w:t>Wie die bisherige Vorsorgeeinrichtung hat auch die Vorinstanz ihre Schreiben dabei stets - und zu Recht - an die auch im Handelsregister eingetragene Adresse der Beschwerdeführerin gesandt. Wenn sich alsdann und erst im Nachgang zur ergangenen Anschlussverfügung vom 23. März 2015 aus dem Schreiben der Beschwerdeführerin vom 22. Oktober 2015 ergibt, dass unter einer anderen als der im Handelsregister eingetragenen Adresse, nämlich unter der Anschrift A._______AG, (Adresse 2), per 15. Oktober 2012 ein Anschluss bei der C._______ Pensionskasse ([Adresse 3]) besteht (Schreiben vom 28. Januar 2013), so ist dies nicht von der Vorinstanz zu vertreten. Gleiches gilt sodann betreffend das Schreiben mit dem Titel "Anschlussbestätigung Y._______" der C._______ Pensionskasse, welches am 26. Oktober 2015, also nach dem Zwangsanschluss vom 23. März 2015, an die im Handelsregister eingetragene Adresse der Beschwerdeführerin versandt worden ist und sich auf die A._______ AG, (Adresse 4), bezieht und mit dem - laut handschriftlicher Anmerkung auf der Beilage zur Beschwerdeschrift - die Saison vom 20. Dezember 2014 bis zu den Ostern 2015 abgedeckt werden soll.</w:t>
      </w:r>
    </w:p>
    <w:p>
      <w:r>
        <w:rPr>
          <w:b/>
        </w:rPr>
        <w:t>E. 3.5</w:t>
      </w:r>
    </w:p>
    <w:p>
      <w:r>
        <w:t>Insgesamt ist somit erstellt, dass die Beschwerdeführerin den Zwangsanschluss und die damit einhergehenden Verfahrenskosten ebenso selbst verursacht und verschuldet hat, wie die Wiedererwägungsverfügung der Vorinstanz vom 29. März 2016. Insbesondere war die Vorinstanz nicht verpflichtet, weitere Nachforschungen zu veranlassen (vgl. E. 2.2.3). Die entsprechenden Kosten wurden der Beschwerdeführerin folglich zu Recht auferlegt. Die Höhe der von der Vorinstanz eingeforderten Kosten entspricht dabei dem Kostenreglement der Auffangeinrichtung BVG (Stand 1. Januar 2014, betreffend die hier interessierenden Punkte gleich im Reglement per 1. Januar 2016), welches sich - soweit hier interessierend - als rechtskonform erweist (vgl. Urteil des BVGer A-4387/2016 vom 3. Februar 2017 E. 2.5, mit weiteren Hinweisen). Gegenteiliges wird von der Beschwerdeführerin auch nicht geltend gemacht. Dementsprechend ist die Beschwerde vollumfänglich abzuweisen.</w:t>
      </w:r>
    </w:p>
    <w:p>
      <w:r>
        <w:rPr>
          <w:b/>
        </w:rPr>
        <w:t>E. 4</w:t>
      </w:r>
    </w:p>
    <w:p>
      <w:r>
        <w:t>Ausgangsgemäss hat die Beschwerdeführerin die Verfahrenskosten vor Bundesverwaltungsgericht zu tragen (Art. 63 Abs. 1 VwVG). Diese sind auf Fr. 400.-- festzusetzen (Art. 2 Abs. 1 i.V.m. Art. 4 des Reglements vom 21. Februar 2008 über die Kosten und Entschädigungen vor dem Bundesverwaltungsgericht [VGKE; SR 173.320.2]).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