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A-2575/2017 vom 14. Januar 2019</w:t>
      </w:r>
    </w:p>
    <w:p>
      <w:r>
        <w:t>Bundesverwaltungsgericht, 2019-01-14, DE</w:t>
      </w:r>
    </w:p>
    <w:p>
      <w:r>
        <w:rPr>
          <w:b/>
        </w:rPr>
        <w:t xml:space="preserve">Quelle: </w:t>
      </w:r>
      <w:r>
        <w:t>https://mcp.opencaselaw.ch/entscheid/bvger_A-2575_2017</w:t>
      </w:r>
    </w:p>
    <w:p>
      <w:r>
        <w:t>FR: TAF A-2575/2017 du 14 janvier 2019</w:t>
      </w:r>
    </w:p>
    <w:p>
      <w:r>
        <w:t>IT: TAF A-2575/2017 del 14 gennaio 2019</w:t>
      </w:r>
    </w:p>
    <w:p>
      <w:pPr>
        <w:pStyle w:val="Heading2"/>
      </w:pPr>
      <w:r>
        <w:t>Regeste</w:t>
      </w:r>
    </w:p>
    <w:p>
      <w:r>
        <w:t>Eisenbahnen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Es prüft das Vorliegen der Sachurteilsvoraussetzungen von Amtes wegen. Die Vorinstanz ist gemäss Art. 9 Abs. 4 VLE zuständig, über Gesuche um Finanzhilfen nach Art. 10a BGLE zu entscheiden. Sie gehört zu den Behörden i.S.v. Art. 33 Bst. d VGG und der angefochtene Entscheid stellt eine Verfügung i.S.v. Art. 5 Abs. 1 VwVG dar (Art. 16 Abs. 1 des Subventionsgesetzes [SuG, SR 616.1]). Da zudem kein Ausnahmegrund i.S.v. Art. 32 VGG vorliegt, ist das Bundesverwaltungsgericht zur Beurteilung der vorliegenden Beschwerde zuständig. Das Verfahren vor dem Bundesverwaltungsgericht richtet sich nach dem VwVG, soweit das VGG nichts anderes bestimmt (Art. 37 VGG; vgl. auch Art. 35 Abs. 1 SuG).</w:t>
      </w:r>
    </w:p>
    <w:p>
      <w:r>
        <w:rPr>
          <w:b/>
        </w:rPr>
        <w:t>E. 1.2</w:t>
      </w:r>
    </w:p>
    <w:p>
      <w:r>
        <w:t>Zur Beschwerde ist nach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mit welcher die Vorinstanz ihr Begehren um Finanzhilfe abgewiesen hat. Sie ist daher ohne Weiteres als zur Beschwerdeerhebung berechtigt anzusehen.</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Es stellt den rechtserheblichen Sachverhalt unter Vorbehalt der Mitwirkungspflicht der Parteien von Amtes wegen fest (Art. 12 und Art. 13 VwVG) und wendet das Rechts grundsätzlich frei an, ohne an die rechtliche Begründung der Begehren gebunden zu sein (Art. 62 Abs. 4 VwVG). Dabei würdigt das Bundesverwaltungsgericht die Beweise grundsätzlich frei, ohne Bindung an förmliche Beweisregeln, sowie umfassend und pflichtgemäss (Grundsatz der freien Beweiswürdigung; Art. 19 VwVG i.V.m. Art. 40 des Bundesgesetzes über den Bundeszivilprozess [BZP, SR 273]; BVGE 2012/33 E. 6.2.1; vgl. auch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(Urteil des BVGer A-400/2017 vom 19. April 2018 E. 2; vgl. auch Urteil des BGer 2C_1065/2015 vom 15. September 2016 E. 5.1). Auch im öffentlichen Recht gilt sodann der allgemeine Grundsatz gemäss Art. 8 ZGB, wonach derjenige die Folgen einer allfälligen Beweislosigkeit zu tragen hat, der aus der unbewiesen gebliebenen Tatsache Rechte ableitet (vgl. zum Ganzen BGE 140 I 285 E. 6.3.1 und Krauskopf/Emmenegger/Babey, in: Praxiskommentar VwVG, 2. Aufl. 2016, Art. 12 Rz. 8, 207-209, 213 und 215; zudem Urteil des BVGer A-1700/2017 vom 25. April 2018 E. 2 mit Hinweisen).</w:t>
      </w:r>
    </w:p>
    <w:p>
      <w:r>
        <w:rPr>
          <w:b/>
        </w:rPr>
        <w:t>E. 3.1</w:t>
      </w:r>
    </w:p>
    <w:p>
      <w:r>
        <w:t>Die Beschwerdeführerin macht geltend, sie habe nach Treu und Glauben aufgrund der Umstände davon ausgehen dürfen, zur (vorzeitigen) Anschaffung der ersten 50 lärmarmen Güterwagen berechtigt gewesen zu sein, ohne damit ihres Anspruchs auf Finanzhilfe des Bundes verlustig zu gehen. Die Verweigerung der Finanzhilfe beruhe zudem auf überspitztem Formalismus. Die Vorinstanz hält der Beschwerdeführerin entgegen, zu keinem Zeitpunkt eine Finanzhilfe für die Anschaffung der ersten 50 lärmarmen Güterwagen zugesichert oder eine Bewilligung zur vorzeitigen Anschaffung erteilt zu haben. Vielmehr habe die Beschwerdeführerin um die Anwendung der subventionsrechtlichen Bestimmungen wissen müssen und habe somit die Säumnis selbst zu vertreten.</w:t>
      </w:r>
    </w:p>
    <w:p>
      <w:r>
        <w:rPr>
          <w:b/>
        </w:rPr>
        <w:t>E. 3.2.1</w:t>
      </w:r>
    </w:p>
    <w:p>
      <w:r>
        <w:t>Der Gütertransport auf der Schiene verursacht - auch nach Abschluss der ordentlichen Lärmsanierung der Eisenbahn - erheblichen Lärm. Hauptsächliche Quelle sind Güterwagen mit einer veralteten Bremstechnologie. Um ein (erneutes) Ansteigen der Lärmbelastung durch zu erwartenden Mehrverkehr zu vermeiden, hat der Gesetzgeber im Jahr 2013 das BGLE ergänzt. Neu sind Emissionsgrenzwerte für Güterwagen (Art. 4 Abs. 3 BGLE; gültig ab dem 1. Januar 2020) sowie verschiedene Massnahmen an der Quelle - an der Fahrbahn sowie am Rollmaterial - vorgesehen (Botschaft vom 30. November 2012 zur Änderung des Bundesgesetzes über die Lärmsanierung der Eisenbahnen, Bundesblatt [BBl] 2013 489, 490 f., 498 f., 505 f., 507 f., 519-521). Gemäss der neuen Bestimmung von Art. 10a Abs. 1 BGLE, die seit dem 1. März 2014 in Kraft ist, kann der Bund für den Erwerb und Betrieb von besonders lärmarmen Güterwagen Finanzhilfen gewähren. Diese Investitionsförderung wird in Art. 9 VLE (in Kraft seit dem 1. Januar 2016) konkretisiert. Das Verfahren richtet sich nach den Bestimmungen des 3. Kapitels des Subventionsgesetzes, soweit das BGLE nichts Abweichendes vorschreibt (Art. 2 Abs. 2 SuG).</w:t>
      </w:r>
    </w:p>
    <w:p>
      <w:r>
        <w:rPr>
          <w:b/>
        </w:rPr>
        <w:t>E. 3.2.2</w:t>
      </w:r>
    </w:p>
    <w:p>
      <w:r>
        <w:t>Finanzhilfen und Abgeltungen werden nur auf Gesuch hin und in der Regel durch Verfügung gewährt (Art. 11 Abs. 1 und Art. 16 Abs. 1 SuG). Gemäss Art. 26 SuG darf der Gesuchsteller erst mit dem Bau beginnen oder grössere Anschaffungen tätigen, wenn ihm die Finanzhilfe oder Abgeltung endgültig oder dem Grundsatz nach zugesichert worden ist oder wenn ihm die zuständige Behörde dafür die Bewilligung erteilt hat (Abs. 1). Die zuständige Behörde kann die Bewilligung erteilen, wenn es mit schwerwiegenden Nachteilen verbunden wäre, das Ergebnis der Prüfung der Gesuchsunterlagen abzuwarten. Die Bewilligung gibt indes keinen Anspruch auf die Finanzhilfe oder Abgeltung (Abs. 2). Beginnt der Gesuchsteller ohne Bewilligung mit dem Bau oder tätigt er Anschaffungen, so werden ihm keine Leistungen gewährt. Bei Abgeltungen kann ihm die zuständige Behörde jedoch eine Leistung gewähren, wenn es die Umstände rechtfertigen (Abs. 3). Die Regelung gemäss Art. 26 SuG soll sicherstellen, dass Tätigkeiten, die nicht ohne grössere Nachteile rückgängig gemacht werden können, wie etwa die Erstellung von Bauten oder grössere Anschaffungen, erst nach der Zusicherung der Finanzhilfe oder Abgeltung einsetzen. Dies liegt sowohl im Interesse des Gesuchstellers als auch des Staates. Der Gesuchsteller erhält vor Beginn der Aufgabenerfüllung die Gewissheit, dass sein Projekt beitragsberechtigt ist. Der Staat anderseits stellt sicher, dass der Finanzhilfe- oder Abgeltungszweck erfüllt wird. Zudem erleichtert die vorgängige Zusicherung der Behörde die Budgetierung und Finanzplanung. Es bestehen somit schutzwürdige Interessen an der formstrengen Abwicklung des Subventionsverfahrens, was einen vorzeitigen Baubeginn bzw. eine vorzeitige Anschaffung grundsätzlich unzulässig macht. In Fällen von schwerwiegenden Nachteilen kann die Behörde jedoch eine Bewilligung zum vorzeitigen Baubeginn oder für grössere Anschaffungen gewähren (Art. 26 Abs. 2 SuG). In Frage kommen Sachumstände wie Katastrophenfälle, Projektänderungen, die Nutzung eines Marktvorsprungs, eine Grundlagenbeschaffung oder die koordinierte Bauausführung verschiedener Interessenten. Der zuständigen Behörde ist in diesem Fall vorgängig ein Gesuch einzureichen und der Entscheid abzuwarten; der Begriff der Bewilligung i.S.v. Art. 26 Abs. 2 SuG ist ein juristischer Begriff und meint eine schriftlich zu eröffnende Verfügung (vgl. zum Ganzen Botschaft vom 15. Dezember 1986 zu einem Bundesgesetz über Finanzhilfen und Abgeltungen, BBl 1987 I 369, 412; BGE 130 V 177 E. 5.4; Urteil des BGer 2C_449/2009 vom 21. Januar 2010 E. 2.4 f.; Urteil des BVGer A-3110/2014 vom 21. April 2015 E. 3.6.2; August Mächler, Subventionsrecht, in: Biaggini et al. [Hrsg.], Fachhandbuch Verwaltungsrecht, 2015, Rz. 21.27 f.).</w:t>
      </w:r>
    </w:p>
    <w:p>
      <w:r>
        <w:rPr>
          <w:b/>
        </w:rPr>
        <w:t>E. 3.3</w:t>
      </w:r>
    </w:p>
    <w:p>
      <w:r>
        <w:t>Aufgrund der Akten steht fest und ist auch unbestritten, dass die Beschwerdeführerin bis zum Zeitpunkt der Anschaffung der ersten 50 lärmarmen Güterwagen Mitte des Jahres 2015 von der Vorinstanz keine (schriftliche) Beitragszusicherung erhalten hatte. Ebenso wenig hat die Vorinstanz die vorzeitige Anschaffung der Güterwagen durch Verfügung bewilligt. Zwar trifft zu, dass die Beschwerdeführerin die Vorinstanz vor der Anschaffung über den Stand der Entwicklung der lärmarmen Güterwagen und - kurz nach Vertragsschluss - auch über die bevorstehende Auslieferung der ersten Güterwagen informierte. Um eine Finanzhilfe des Bundes für die Anschaffung der ersten 50 lärmarmen Güterwagen war vor der Anschaffung jedoch nicht nachgesucht worden und die für Dritte erkennbare Absicht, eine solche künftig zu beantragen, vermag für sich allein einen entsprechenden Antrag nicht ersetzen. Aus den vorliegenden Umständen kann somit für sich allein und mit Blick auf das vorstehend zu Art. 26 SuG Ausgeführte nicht geschlossen werden, die Vorinstanz habe die Finanzhilfe (im Grundsatz) zugesichert oder die Bewilligung für eine vorzeitige Anschaffung gemäss Art. 26 Abs. 2 SuG erteilt. Eine Beitragsgewährung unmittelbar gestützt auf Art. 26 Abs. 1 und 2 SuG kommt daher, wie die Vorinstanz zu Recht ausgeführt hat, vorliegend nicht in Betracht. Auch die Anwendung von Art. 26 Abs. 3 Satz 2 SuG scheidet aus, da es sich bei den Leistungen gemäss Art. 10a BGLE unstrittig um Finanzhilfen i.S.v. Art. 3 Abs. 1 SuG und nicht um Abgeltungen i.S.v. Art. 3 Abs. 2 SuG handelt.</w:t>
      </w:r>
    </w:p>
    <w:p>
      <w:r>
        <w:rPr>
          <w:b/>
        </w:rPr>
        <w:t>E. 3.4.1</w:t>
      </w:r>
    </w:p>
    <w:p>
      <w:r>
        <w:t>Zu prüfen bleibt, ob die Beschwerdeführerin, wie sie geltend macht, aufgrund der Umstände und insbesondere gestützt auf den Grundsatz von Treu und Glauben (Art. 9 BV) darauf hat vertrauen dürfen, die Finanzhilfe werde ihr gewährt, sobald sie ein entsprechendes Gesuch einreiche. Der in Art. 9 BV verankerte Grundsatz von Treu und Glauben verleiht einer Person Anspruch auf Schutz des berechtigten Vertrauens in förmliche behördliche Akte und sonstiges, bestimmte Erwartungen begründendes Verhalten der Behörden wie etwa Zusicherungen und Auskünfte. Abgeleitet aus diesem Grundsatz können unrichtige Auskünfte von Verwaltungsbehörden unter bestimmten Voraussetzungen eine vom materiellen Recht abweichende Behandlung des Rechtsuchenden gebieten. Die Form der Auskunftserteilung ist dabei nicht massgebend. Auch Aussagen auf einem amtlichen Formular, einer amtlichen Internetseite oder einem Merkblatt können eine Vertrauensgrundlage bilden, wenn sie einen hinreichenden Bezug zum Einzelfall haben und der Bürger sie nach den Umständen als konkrete Auskunft werten durfte (BGE 129 II 125 E. 5.6; BGE 109 V 52 E. 2 f.; vgl. auch Urteil des BGer 2C_180/2017 vom 10. Januar 2018 E. 4.1 f.; Häfelin/Müller/Uhlmann, Allgemeines Verwaltungsrecht, 7. Aufl. 2016, Rz. 669 f.). Voraussetzung für eine Berufung auf den Vertrauensschutz ist weiter, dass die betroffene Person sich berechtigterweise auf die Vertrauensgrundlage verlassen durfte und gestützt darauf nachteilige Dispositionen getroffen hat, die sie nicht mehr rückgängig machen kann. Die Behörde muss zudem zur Auskunftserteilung zuständig gewesen sein und die gesetzliche Ordnung darf seit der Auskunftserteilung keine Änderung erfahren haben. Die Berufung auf den Grundsatz von Treu und Glauben scheitert, wenn ihr überwiegende öffentliche Interessen gegenüberstehen (zu den Voraussetzungen des Vertrauensschutzes bei Auskünften und Zusicherungen vgl. ausführlich statt vieler BGE 137 II 182 E. 3.6.2, bestätigt in Urteil des BGer 2C_180/2017 vom 10. Januar 2018 E. 4.1; BGE 131 V 472 E. 5; Häfelin/Müller/Uhlmann, a.a.O., Rz. 667 ff. mit Hinweisen). Die Untätigkeit einer Behörde und damit auch blosses Stillschweigen vermag in aller Regel keinen Vertrauenstatbestand zu schaffen, ausser es besteht eine gesetzliche Auskunfts- oder Beratungsplicht der Behörde (Urteile des BGer 2C_277/2012 vom 11. Mai 2012 E. 5.2 und 1A.63/2005 vom 22. August 2005 E. 5.2.1 mit Hinweisen). Ob ausnahmsweise dennoch ein Vertrauenstatbestand geschaffen worden ist, bestimmt sich danach, ob das Stillschweigen der Behörde bei objektiver Betrachtungsweise geeignet war, bei der betroffenen Person eine entsprechende Erwartung zu erwecken (BGE 131 V 472 E. 5; Urteil des BGer 2C_277/2012 vom 11. Mai 2012 E. 5.2 mit Hinweisen; Tschannen/Zimmerli/Müller, Allgemeines Verwaltungsrecht, 4. Aufl. 2014, § 22 Rz. 17 f.; Wiederkehr/Richli, Praxis des allgemeinen Verwaltungsrechts, Bd. 1, 2012, Rz. 2032 f. mit [weiteren] Hinweisen auf die Rechtsprechung).</w:t>
      </w:r>
    </w:p>
    <w:p>
      <w:r>
        <w:rPr>
          <w:b/>
        </w:rPr>
        <w:t>E. 3.4.2</w:t>
      </w:r>
    </w:p>
    <w:p>
      <w:r>
        <w:t>Vorliegend hat die Vorinstanz keine Vertrauensgrundlage geschaffen. Weder hat sie - auf ausdrücklich Nachfrage hin - zu irgend einem Zeitpunkt die (unrichtige) Auskunft erteilt, das Gesuch um Finanzhilfe könne auch nach der Anschaffung der ersten 50 Güterwagen noch eingereicht werden, noch hat sie bei objektiver Betrachtungsweise durch Stillschweigen eine entsprechende Erwartung erweckt. Das Pflichtenheft, auf welches die Beschwerdeführerin Bezug nimmt, äussert sich nicht zu der Frage, wann das Gesuch um Finanzhilfe einzureichen ist. Es verweist eingangs in allgemeiner Weise auf das SuG und unter dem Titel "Finanzhilfen des Bundes" auf die Bestimmung Art. 10a BGLE, wobei diese keine Angaben zum Verfahrensablauf enthält. Die Beschwerdeführerin wäre aufgrund der Umstände verpflichtet gewesen, sich darüber zu informieren, bis zu welchem Zeitpunkt ein Gesuch um Finanzhilfe einzureichen ist, zumal es sich dabei nicht um eine Frage von untergeordneter Bedeutung handelt. Auch ein Blick ins SuG hätte wohl ausgereicht. In diesem ist in Art. 26 klar und verständlich festgehalten, dass grössere Anschaffungen erst getätigt werden dürfen, wenn die Finanzhilfe endgültig oder dem Grundsatz nach zugesichert worden ist oder die zuständige Behörde hierfür die Bewilligung erteilt hat (Abs. 1). Zudem deutet auch die Formulierung im Formular "Antrag auf Finanzhilfe", welches die Beschwerdeführerin von der Vorinstanz erhalten hatte, darauf hin, dass ein Gesuch vor der Anschaffung einzureichen ist; unter Ziff. 2 ist die "Anzahl zu beschaffender Güterwagen" anzugeben. Die Beschwerdeführerin hätte daher vorliegend darum wissen müssen, dass ein Gesuch um Gewährung von Finanzhilfe vor der Anschaffung einzureichen ist bzw. hätte bei der Vorinstanz entsprechende Erkundigungen einholen müssen. Sie hat den Umstand, dass sie dies versäumte, selbst zu verantworten, zumal eine Aufklärungs- bzw. Beratungspflicht der Vorinstanz nicht ersichtlich ist. Soweit die Beschwerdeführerin schliesslich einwendet, die Anwendung der Formvorschriften gemäss Art. 26 SuG sei überspitzt formalistisch, kann auf die Rechtsprechung verwiesen werden. Das Bundes- und das Bundesverwaltungsgericht haben bereits verschiedentlich festgehalten, dass an einer formstrengen Abwicklung des Subventionsverfahrens ein ausreichendes öffentliches Interesse besteht (vgl. hierzu auch vorstehend E. 3.2.2). Zudem ermögliche die Bestimmung von Art. 26 SuG in dringenden Fällen einen vorzeitigen Baubeginn bzw. eine vorzeitige Anschaffung (vgl. Art. 26 Abs. 1 und 2 SuG) und sorge so in generell-abstrakter Weise für einen Ausgleich der Interessen. Von überspitztem Formalismus könne daher im Zusammenhang mit der Anwendung von Art. 26 SuG nicht gesprochen werden, zumal die Vorschriften ohne grossen Aufwand eingehalten werden könnten (Urteil des BGer 2C_449/2009 vom 21. Januar 2010 E. 2.5 mit Hinweis auf BGE 130 V 177 E. 5.4; Urteil des BVGer A-3110/2014 vom 21. April 2015 E. 3.6). Es besteht kein Anlass, vorliegend hiervon abzuweichen.</w:t>
      </w:r>
    </w:p>
    <w:p>
      <w:r>
        <w:rPr>
          <w:b/>
        </w:rPr>
        <w:t>E. 3.5</w:t>
      </w:r>
    </w:p>
    <w:p>
      <w:r>
        <w:t>Zusammenfassend ergibt sich, dass eine Finanzhilfe für die Anschaffung der ersten 50 lärmarmen Güterwagen vorliegend weder unmittelbar gestützt auf das SuG noch gestützt auf den Grundsatz von Treu und Glauben gemäss Art. 9 BV gewährt werden kann. Die Beschwerde ist daher abzuweisen.</w:t>
      </w:r>
    </w:p>
    <w:p>
      <w:r>
        <w:rPr>
          <w:b/>
        </w:rPr>
        <w:t>E. 4</w:t>
      </w:r>
    </w:p>
    <w:p>
      <w:r>
        <w:t>Bei diesem Verfahrensausgang gilt die Beschwerdeführerin als unterliegend. Sie hat daher die Kosten für das Beschwerdeverfahren zu tragen (Art. 63 Abs. 1 VwVG). Diese sind, da es sich um eine Streitigkeit mit Vermögensinteresse handelt, in Anwendung von Art. 4 des Reglements über die Kosten und Entschädigungen vor dem Bundesverwaltungsgericht (VGKE, SR 173.320.2) auf Fr. 15'000.- festzusetzen. Der von der Beschwerdeführerin in der Höhe von Fr. 15'000.- geleistete Kostenvorschuss wird zur Bezahlung der Verfahrenskosten verwendet. Eine Parteientschädigung ist der Beschwerdeführerin angesichts ihres Unterliegens nicht zuzusprechen (Art. 64 Abs. 1 VwVG; Art. 7 ff. VGKE). Die Vorinstanz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