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A-2567/2020 vom 3. März 2022</w:t>
      </w:r>
    </w:p>
    <w:p>
      <w:r>
        <w:t>Bundesverwaltungsgericht, 2022-03-03, DE</w:t>
      </w:r>
    </w:p>
    <w:p>
      <w:r>
        <w:rPr>
          <w:b/>
        </w:rPr>
        <w:t xml:space="preserve">Quelle: </w:t>
      </w:r>
      <w:r>
        <w:t>https://mcp.opencaselaw.ch/entscheid/bvger_A-2567_2020</w:t>
      </w:r>
    </w:p>
    <w:p>
      <w:r>
        <w:t>FR: TAF A-2567/2020 du 3 mars 2022</w:t>
      </w:r>
    </w:p>
    <w:p>
      <w:r>
        <w:t>IT: TAF A-2567/2020 del 3 marzo 2022</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Vorliegend stellt der angefochtene Einspracheentscheid eine solche Verfügung dar. Eine Ausnahme nach Art. 32 VGG liegt nicht vor. Die Vorinstanz ist zudem eine Behörde im Sinn von Art. 33 VGG. Das Bundesverwaltungsgericht ist demnach für die Beurteilung der vorliegenden Beschwerde zuständig.</w:t>
      </w:r>
    </w:p>
    <w:p>
      <w:r>
        <w:rPr>
          <w:b/>
        </w:rPr>
        <w:t>E. 1.2</w:t>
      </w:r>
    </w:p>
    <w:p>
      <w:r>
        <w:t>Die Beschwerdeführerin ist zur Erhebung der vorliegenden Beschwerde berechtigt (Art. 48 Abs. 1 VwVG). Auf die im Übrigen frist- und formgerecht eingereichte Beschwerde (Art. 50 Abs. 1 und Art. 52 Abs. 1 VwVG) ist demnach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vgl. auch E. 1.3).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1.4.2</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sowie dem Prinzip eines einfachen und raschen Verfahrens vereinbar. Zur Rückweisung führt insbesondere eine mangelhafte Abklärung des Sachverhaltes durch die Vorinstanz, die ohne eine aufwändigere Beweiserhebung nicht behoben werden kann. Die Vorinstanz ist mit den tatsächlichen Verhältnissen besser vertraut und darum im Allgemeinen besser in der Lage, die erforderlichen Abklärungen durchzuführen; zudem bleibt der betroffenen Partei dergestalt der gesetzlich vorgesehene Instanzenzug erhalten (vgl. statt vieler: BGE 131 V 407 E. 2.1.1; BVGE 2012/21 E. 5.1; Urteile des BVGer A-5198/2016 vom 5. April 2017 E. 2.3, A-1865/2016 vom 14. Dezember 2016 E. 5, A-5060/2014 vom 18. Juni 2015 E. 6.1; Moser et al., a.a.O., Rz. 3.194).</w:t>
      </w:r>
    </w:p>
    <w:p>
      <w:r>
        <w:rPr>
          <w:b/>
        </w:rPr>
        <w:t>E. 2.1</w:t>
      </w:r>
    </w:p>
    <w:p>
      <w:r>
        <w:t>Der vorliegende Sachverhalt betrifft die Vergütungsperiode 2015. Somit ist in casu das MWSTG (mitsamt der MWSTV) in der bis zum 31. Dezember 2017 gültigen Fassung massgebend, worauf nachfolgend - wo nicht anders vermerkt - referenziert wird. Soweit im Folgenden auf die Rechtsprechung zum Mehrwertsteuergesetz vom 2. September 1999 (aMWSTG, AS 2000 1300) verwiesen wird, liegt der Grund darin, dass diese im vorliegenden Fall auch für das MWSTG übernommen werden kann.</w:t>
      </w:r>
    </w:p>
    <w:p>
      <w:r>
        <w:rPr>
          <w:b/>
        </w:rPr>
        <w:t>E. 2.2.1</w:t>
      </w:r>
    </w:p>
    <w:p>
      <w:r>
        <w:t>Der Bund erhebt eine allgemeine Verbrauchssteuer nach dem System der Nettoallphasensteuer (auch als Allphasensteuer mit Vorsteuerabzug bzw. Mehrwertsteuer bezeichnet [Art. 1 Abs. 1 MWSTG]; Art. 130 BV).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sowie der Überwälzbarkeit (Art. 1 Abs. 3 MWSTG; vgl. auch Klaus A. Vallender, in: Ehrenzeller/Schindler/Schweizer/Vallender [Hrsg.], Die schweizerische Bundesverfassung, St. Galler Kommentar, 3. Aufl. 2014, Art. 130 Rz. 8 ff.; zum Ganzen statt vieler: Urteil des BVGer A-5534/2013 vom 5. November 2014 E. 2.1.1).</w:t>
      </w:r>
    </w:p>
    <w:p>
      <w:r>
        <w:rPr>
          <w:b/>
        </w:rPr>
        <w:t>E. 2.2.2</w:t>
      </w:r>
    </w:p>
    <w:p>
      <w:r>
        <w:t>Der Grundsatz der Wettbewerbsneutralität verlangt, dass ein modernes Verbrauchssteuersystem wie die Mehrwertsteuer nach Möglichkeit in seinen Auswirkungen neutral sein muss. Das heisst, es darf den Wettbewerb zwischen den Unternehmen nicht beeinträchtigen und hat das Gleichbehandlungsgebot zu beachten.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indem sichergestellt wird, dass die Endbelastung beim Konsumenten immer gleich hoch ist, und zwar unabhängig davon, auf welchem Weg die Ware oder Dienstleistung zu ihm gelangt (vgl. BGE 138 II 251 E. 2.3.4, 125 II 326 E. 6a und 124 II 193 E. 8a mit Hinweisen; vgl. zum Ganzen: Urteil des BVGer A-713/2017 vom 2. Juli 2018 E. 2.1 [bestätigt mit Urteil des BGer 2C_767/2018 vom 8. Mai 2019]).</w:t>
      </w:r>
    </w:p>
    <w:p>
      <w:r>
        <w:rPr>
          <w:b/>
        </w:rPr>
        <w:t>E. 2.3.1</w:t>
      </w:r>
    </w:p>
    <w:p>
      <w:r>
        <w:t>Das Vorsteuervergütungsverfahren gemäss Art. 107 Abs. 1 Bst. b MWSTG kann als Pendant zum Vorsteuerabzug betrachtet werden. Inländische Unternehmen können sich im Register der Mehrwertsteuerpflichtigen registrieren lassen und bei gegebenen Voraussetzungen die von ihnen geleistete Mehrwertsteuer als Vorsteuer geltend machen. Um ausländische Unternehmen, die weder Leistungen im Inland erbringen noch ihren Sitz oder eine Betriebsstätte in Inland haben, und sich nicht im Register der Mehrwertsteuerpflichtigen eintragen lassen können (Art. 10 Abs. 1 MWSTG und Art. 8 Abs. 1 MWSTV), nicht mit der Mehrwertsteuer zu belasten, dient das Vorsteuervergütungsverfahren (vgl. Urteil des BVGer A-713/2017 vom 2. Juli 2018 E. 2.6.1 [bestätigt mit Urteil des BGer 2C_767/2018 vom 8. Mai 2019 E. 2.2]; Felix Geiger, in: ders./Schluckebier [Hrsg.], MWSTG Kommentar, 2. Aufl. 2019 [nachfolgend: MWSTG-Kommentar 2019], Art. 107 N. 11; Béatrice Blum, in: Zweifel/Beusch/Glauser/Robinson [Hrsg.], Kommentar zum Schweizerischen Steuerrecht, Bundesgesetz über die Mehrwertsteuer, 2015 [nachfolgend: MWSTG-Kommentar 2015], Art. 107 N. 20). Dabei haben grundsätzlich die gleichen Anforderungen zu gelten, wie sie bei inländischen steuerpflichtigen Personen in Bezug auf den Vorsteuerabzug bestehen (Art. 107 Abs. 1 Bst. b MWSTG; vgl. auch Urteile des BGer 2C_767/2018 vom 8. Mai 2019 E. 2.2, 2C_207/2013 vom 28. April 2014 E. 2.3.2).</w:t>
      </w:r>
    </w:p>
    <w:p>
      <w:r>
        <w:rPr>
          <w:b/>
        </w:rPr>
        <w:t>E. 2.3.2</w:t>
      </w:r>
    </w:p>
    <w:p>
      <w:r>
        <w:t>Das in den Grundzügen in Art. 107 Abs. 1 Bst. b MWSTG geregelte Verfahren wird zur Regelung im Übrigen an den Bundesrat delegiert. Er hat die kumulativen Voraussetzungen für eine solche Steuervergütung in Art. 151 ff. MWSTV präzisiert und weitgehend die unter dem aMWSTG geltenden Bestimmungen übernommen und um die bisherige Verwaltungspraxis der ESTV ergänzt (Ivo P. Baumgartner et al., Vom alten zum neuen Mehrwertsteuergesetz, 2010, § 7 Rz. 133). Danach hat Anspruch auf Steuervergütung, wer Gegenstände einführt oder sich im Inland Leistungen gegen Entgelt erbringen lässt und zudem: a) Wohn- oder Geschäftssitz oder Betriebsstätte im Ausland hat; b) im Inland nicht subjektiv mehrwertsteuerpflichtig ist; c) unter Vorbehalt von Art. 151 Abs. 2 MWSTV im Inland keine Leistungen erbringt; und d) im Land seines Wohn- oder Geschäftssitzes oder Betriebsstätte seine Unternehmenseigenschaft nachweist (Art. 151 Abs. 1 MWSTV). Zudem setzt die Steuervergütung an ausländische Unternehmen voraus, dass der Ansässigkeitsstaat des Antragsstellers das Gegenrecht gewährt (Art. 107 Abs. 1 Bst. b MWSTG, Art. 151 Abs. 3 MWSTV und Art. 152 MWSTV). Die Steuervergütung entspricht bezüglich Umfang und Einschränkungen dem Vorsteuerabzugsrecht nach den Art. 28-30 MWSTG, wobei rückzahlbare Steuern nur vergütet werden, wenn deren Betrag in einem Kalenderjahr mindestens CHF 500 erreicht (Art. 153 Abs. 1 und Abs. 3 MWSTV). Der Vergütungsantrag ist innerhalb von sechs Monaten nach Ablauf des Kalenderjahrs zu stellen, in dem für die erbrachte Leistung eine den Anspruch auf Vergütung begründende Rechnung gestellt wurde (Art. 154 MWSTV). Der Antrag auf Steuervergütung ist mit den Originalrechnungen der Leistungserbringer und Leistungserbringerinnen bzw. mit den Veranlagungsverfügungen der EZV (heute: BAZG) an die ESTV zu richten. Die Originalrechnungen müssen die Anforderungen gemäss Art. 26 Abs. 2 MWSTG erfüllen und auf den Namen des Antragstellers oder der Antragstellerin lauten (Art. 155 Abs. 1 MWSTV; Urteil des BVGer A-713/2017 vom 2. Juli 2018 E. 2.6.2 [bestätigt mit Urteil des BGer 2C_767/2018 vom 8. Mai 2019]; vgl. ausführlicher zum ganzen Abschnitt: Geiger, MWSTG-Kommentar 2019, Art. 107 N. 12 ff.; Blum, MWSTG-Kommentar 2015, Art. 107 N. 27 ff.; Baumgartner et al., a.a.O., § 7 Rz. 135 ff.).</w:t>
      </w:r>
    </w:p>
    <w:p>
      <w:r>
        <w:rPr>
          <w:b/>
        </w:rPr>
        <w:t>E. 2.3.3</w:t>
      </w:r>
    </w:p>
    <w:p>
      <w:r>
        <w:t>Die Praxis der ESTV sieht betreffend die «Bescheinigung der Unternehmenseigenschaft durch die ausländische Steuerbehörde» vor, dass der Antragsteller seine Unternehmenseigenschaft durch die ausländische Steuerbehörde im Land des Wohn-, Geschäftssitzes oder der Betriebsstätte gegenüber der ESTV nachweist (Art. 151 Abs. 1 Bst. d MWSTV), wobei diese Bescheinigung für die Vergütungsperiode gültig sein muss (vgl. MI 18, Ziff. 1.4 in der per 1.1.2010 geltenden Fassung).</w:t>
      </w:r>
    </w:p>
    <w:p>
      <w:r>
        <w:rPr>
          <w:b/>
        </w:rPr>
        <w:t>E. 3</w:t>
      </w:r>
    </w:p>
    <w:p>
      <w:r>
        <w:t>Strittig und zu prüfen ist, ob die Beschwerdeführerin die Voraussetzungen für die Vergütung der Mehrwertsteuer grundsätzlich erfüllt und falls dies gegeben ist, in welchem Umfang ihr die Vergütung der Mehrwertsteuer zu gewähren ist. Hinsichtlich des Erfüllens der Voraussetzungen für die Vergütung der Mehrwertsteuer ist bloss noch zu klären, ob die Beschwerdeführerin ihre Unternehmenseigenschaft im Sinne von Art. 151 Abs. 1 Bst. d MWSTV nachgewiesen hat. Zu Recht nicht im Streit liegt die Erfüllung der weiteren Voraussetzungen für den Vorsteuervergütungsanspruch. So hat die Beschwerdeführerin unbestrittenermassen ihren Geschäftssitz bzw. ihre Betriebstätte im Ausland, ist im Inland nicht subjektiv mehrwertsteuerpflichtig und erbringt im Inland keine Leistungen. Zudem gewährt die Niederlande Gegenrecht und der Mindestbetrag von CHF 500 ist vorliegend erreicht. Schliesslich wurde der Vergütungsantrag innert Frist mit den Originalrechnungen eingereicht (hierzu ausführlich: E. 2.3.2).</w:t>
      </w:r>
    </w:p>
    <w:p>
      <w:r>
        <w:rPr>
          <w:b/>
        </w:rPr>
        <w:t>E. 3.1</w:t>
      </w:r>
    </w:p>
    <w:p>
      <w:r>
        <w:t>Den Akten der Vorinstanz und den mit der Beschwerde eingereichten Beilagen liegen zwei verschiedene - angeblich mit dem Antrag um Vergütung eingereichte - Unternehmensbescheinigungen mit Datum vom 8. März 2016 bei. Die von der Vorinstanz eingereichte Bescheinigung hält fest, dass die Beschwerdeführerin umsatzsteuerpflichtig sei, diese Bescheinigung indes nicht dazu dienen könne, die Mehrwertsteuer von anderen EU-Ländern zurückzufordern. Darüber hinaus enthält sie keine Angaben, seit wann und unter welcher Nummer die Beschwerdeführerin steuerpflichtig ist. Es geht daraus also nicht hervor, ob die Beschwerdeführerin auch in der Vergütungsperiode 2015 die Unternehmenseigenschaft erfüllte. Die seitens der Beschwerdeführerin eingereichte Bescheinigung, welche - nach dem Dafürhalten der Beschwerdeführerin - bereits mit dem ursprünglichen Antrag um Vergütung der Mehrwertsteuer eingereicht worden sein soll, enthält zwar die Umsatzsteuernummer der Beschwerdeführerin. Ob die Beschwerdeführerin im Vergütungsjahr 2015 bereits die Unternehmenseigenschaft erfüllte bzw. seit wann sie diese Eigenschaft hat bzw. als Umsatzsteuerpflichtige registriert ist, geht daraus jedoch nicht hervor.</w:t>
      </w:r>
    </w:p>
    <w:p>
      <w:r>
        <w:rPr>
          <w:b/>
        </w:rPr>
        <w:t>E. 3.2</w:t>
      </w:r>
    </w:p>
    <w:p>
      <w:r>
        <w:t>Die Beschwerdeführerin führt hierzu aus, dass die Unternehmensbescheinigung, welche sie bereits mit dem Antrag eingereicht habe, als eine Bescheinigung im Sinne von Art. 155 [recte: Art. 151 Abs. 1 Bst. d] MWSTV zu betrachten sei, weil die niederländische Steuerverwaltung in dieser Bescheinigung mit Ausstellungsdatum vom 8. März 2016 die Unternehmenseigenschaft der Beschwerdeführerin bestätigt habe. Dass in der Bescheinigung ein expliziter Hinweis zur Vergütungsperiode fehle, sei nicht entscheidend.</w:t>
      </w:r>
    </w:p>
    <w:p>
      <w:r>
        <w:rPr>
          <w:b/>
        </w:rPr>
        <w:t>E. 3.3</w:t>
      </w:r>
    </w:p>
    <w:p>
      <w:r>
        <w:t>Die Vorinstanz entgegnet, dass die Vergütung der Mehrwertsteuer unter anderem voraussetze, dass die Unternehmenseigenschaft in der Vergütungsperiode bestanden habe, was nachgewiesen werden müsse. Die Gültigkeit der Unternehmensbescheinigung im Zeitpunkt der Vergütungsperiode setze dementsprechend voraus, dass daraus entweder das Jahr, für welches die Vergütung beantragt werde, entnommen werden könne oder die ausländische Steuerbehörde bestätige, seit wann die Unternehmenseigenschaft erfüllt werde bzw. das Unternehmen als Umsatzsteuerpflichtige registriert sei.</w:t>
      </w:r>
    </w:p>
    <w:p>
      <w:r>
        <w:rPr>
          <w:b/>
        </w:rPr>
        <w:t>E. 3.4</w:t>
      </w:r>
    </w:p>
    <w:p>
      <w:r>
        <w:t>Wie sich schon aus ihrem Vorbringen in E. 3.3 ergibt, sieht die Praxis der ESTV vor, dass die Unternehmensbescheinigung für die Vergütungsperiode gültig sein muss (vgl. E. 2.3.3). Diese Praxis kann ohne Weiteres als gesetzeskonform bezeichnet werden, zumal für die Vergütung der Mehrwertsteuer grundsätzlich die gleichen Anforderungen zu gelten haben, wie sie bei inländischen steuerpflichtigen Personen in Bezug auf den Vorsteuerabzug bestehen (E. 2.3.1) und gemäss Art. 28 Abs. 1 MWSTG nur steuerpflichtige Personen und diese auch nur für die Zeit ihrer Steuerpflicht einen Vorsteuerabzug vornehmen können, soweit sie die entsprechenden Voraussetzungen erfüllen. Hieraus lässt sich - wie die Vorinstanz zurecht anführt - schliessen, dass die Vergütung der Mehrwertsteuer unter anderem voraussetzt, dass die Unternehmenseigenschaft in der Vergütungsperiode bestanden hat, was seitens der jeweiligen Antragstellerin zu beweisen ist. Da beiden im Recht liegenden Unternehmensbescheinigungen mit Datum vom 8. März 2016 nicht entnommen werden kann, ob die Beschwerdeführerin die Unternehmenseigenschaft bereits in der Vergütungsperiode 2015 erfüllt hat, können diese nicht als für die Vergütungsperiode gültig bezeichnet werden, womit eine Vergütung der Mehrwertsteuer auf Basis dieser Unternehmensbescheinigungen grundsätzlich (vgl. E. 4) ausser Betracht fällt.</w:t>
      </w:r>
    </w:p>
    <w:p>
      <w:r>
        <w:rPr>
          <w:b/>
        </w:rPr>
        <w:t>E. 4.1</w:t>
      </w:r>
    </w:p>
    <w:p>
      <w:r>
        <w:t>Weiter macht die Beschwerdeführerin - für den Fall, dass die Unternehmensbescheinigung explizit für die Vergütungsperiode gültig sein muss (vgl. E. 3.4) - eine Gleichbehandlung im Unrecht geltend. Die Bescheinigung der Unternehmenseigenschaft, die ursprünglich mit dem Vergütungsantrag eingereicht worden sei, unterscheide sich nicht von den Bescheinigungen, die in anderen Fällen eingereicht worden seien (ohne Hinweis zur Vergütungsperiode) und einer Vergütung nicht entgegengestanden hätten (vgl. Sachverhalt Bst. F).</w:t>
      </w:r>
    </w:p>
    <w:p>
      <w:r>
        <w:rPr>
          <w:b/>
        </w:rPr>
        <w:t>E. 4.2</w:t>
      </w:r>
    </w:p>
    <w:p>
      <w:r>
        <w:t>Die Vorinstanz entgegnet hierzu, für eine Gleichbehandlung im Unrecht wäre erforderlich, dass die Behörde nicht nur in einem oder in einigen Fällen, sondern in ständiger Praxis vom Gesetz abweiche und gleichzeitig zu erkennen gebe, dass sie auch in Zukunft nicht gesetzeskonform entscheiden werde. Die zweite Bedingung sei jedoch vorliegend nicht erfüllt. Gemäss der von ihr (der ESTV) publizierten Praxis müsse die Unternehmensbescheinigung für die Vergütungsperiode gültig sein (mit Verweis auf die MI 18, Ziff. 1.4). Diese Praxis sei selbstredend auch für sie verbindlich (vgl. Sachverhalt Bst. G).</w:t>
      </w:r>
    </w:p>
    <w:p>
      <w:r>
        <w:rPr>
          <w:b/>
        </w:rPr>
        <w:t>E. 4.3</w:t>
      </w:r>
    </w:p>
    <w:p>
      <w:r>
        <w:t>Nach der bundesgerichtlichen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(Art. 8 Abs. 1 BV; eingehend hierzu: Pierre Tschannen, Gleichheit im Unrecht: Gerichtsstrafe im Grundrechtskleid, in: ZBI 112/2011 S. 57 ff.). Die Gleichbehandlung im Unrecht setzt voraus, dass die zu beurteilenden Fälle in den tatbestandserheblichen Sachverhaltselementen übereinstimmen und dieselbe Behörde in ständiger Praxis vom Gesetz abweicht und zu erkennen gibt, dass sie auch in Zukunft nicht gesetzeskonform entscheiden werde. Nur wenn eine Behörde nicht gewillt ist, eine rechtswidrige Praxis aufzugeben, überwiegt das Interesse an der Gleichbehandlung der Betroffenen gegenüber demjenigen an der Gesetzmässigkeit. Äussert sich die Behörde nicht über ihre Absicht, so ist anzunehmen, sie werde aufgrund der Erwägungen des bundesgerichtlichen Urteils zu einer gesetzmässigen Praxis übergehen (zum Ganzen statt vieler: BGE 146 I 105 E. 5.3.1; Urteil des BVGer A-5038/2020 vom 23. November 2021 E. 4.5). Es mag zutreffen, dass die Vorinstanz in einzelnen, seitens der Beschwerdeführerin angeführten Fällen die Vergütung der Mehrwertsteuer auch dann gewährte, wenn die Unternehmensbescheinigung keinen Hinweis auf die Vergütungsperiode aufwies. Indes ist nicht erkennbar, dass die ESTV in ständiger Praxis vom Gesetz abweicht und gewillt ist, auch in Zukunft nicht gesetzeskonform zu entscheiden. Dies ergibt sich einerseits aus ihrer publizierten Praxis und andererseits aus ihren Vorbringen im vorliegenden Verfahren. Damit sind im vorliegenden Fall die strengen Voraussetzungen für eine Gleichbehandlung im Unrecht nicht erfüllt.</w:t>
      </w:r>
    </w:p>
    <w:p>
      <w:r>
        <w:rPr>
          <w:b/>
        </w:rPr>
        <w:t>E. 4.4</w:t>
      </w:r>
    </w:p>
    <w:p>
      <w:r>
        <w:t>Dementsprechend bleibt es dabei, dass der Beschwerdeführerin auf Basis der Unternehmensbescheinigungen vom 8. März 2016 keine Vergütung der Mehrwertsteuer gewährt werden kann.</w:t>
      </w:r>
    </w:p>
    <w:p>
      <w:r>
        <w:rPr>
          <w:b/>
        </w:rPr>
        <w:t>E. 5.1</w:t>
      </w:r>
    </w:p>
    <w:p>
      <w:r>
        <w:t>Mit Eingabe vom 21. August 2020 reichte die Beschwerdeführerin dem Bundesverwaltungsgericht eine Kopie eines Schreibens der niederländischen Steuerverwaltung vom 26. Mai 2020 ein. Beim genannten Schreiben handelt es sich um eine Unternehmensbescheinigung mitsamt Begleitbrief, in welchem die niederländische Steuerverwaltung erklärt, dass die Beschwerdeführerin seit 1. Januar 2015 und bis auf weiteres unter der Nummer (...) umsatzsteuerpflichtig sei.</w:t>
      </w:r>
    </w:p>
    <w:p>
      <w:r>
        <w:rPr>
          <w:b/>
        </w:rPr>
        <w:t>E. 5.2</w:t>
      </w:r>
    </w:p>
    <w:p>
      <w:r>
        <w:t>Mit der genannten Eingabe vom 21. August 2020 wurden die Voraussetzungen für eine Vergütung der Mehrwertsteuer doch noch erfüllt, zumal daraus eindeutig hervorgeht, dass die Beschwerdeführerin die Unternehmenseigenschaft in der Vergütungsperiode erfüllte.</w:t>
      </w:r>
    </w:p>
    <w:p>
      <w:r>
        <w:rPr>
          <w:b/>
        </w:rPr>
        <w:t>E. 6.1</w:t>
      </w:r>
    </w:p>
    <w:p>
      <w:r>
        <w:t>Damit bleibt streitig, in welchem Umfang der Beschwerdeführerin die Vergütung der Mehrwertsteuer zu gewähren ist. Die Vorinstanz hat für diesen Fall - i.e. den Fall, dass die Voraussetzungen für die Vergütung der Mehrwertsteuer doch noch als grundsätzlich erfüllt erachtet würden - vorgebracht, es müsse noch eine Vorsteuerkorrektur vorgenommen werden (vgl. Sachverhalt Bst. G). Die Beschwerdeführerin hingegen, hat sich betreffend eine allfällige Vorsteuerkorrektur nicht geäussert.</w:t>
      </w:r>
    </w:p>
    <w:p>
      <w:r>
        <w:rPr>
          <w:b/>
        </w:rPr>
        <w:t>E. 6.2</w:t>
      </w:r>
    </w:p>
    <w:p>
      <w:r>
        <w:t>Da bis zur Eingabe der Beschwerdeführerin vom 21. August 2020 davon ausgegangen werden konnte, dass der Beschwerdeführerin mangels Erfüllens der Unternehmenseigenschaft ohnehin keine Vergütung der Mehrwertsteuer zusteht, drängte sich eine inhaltliche Prüfung der einzelnen Rechnungen bzw. der dahinterstehenden Leistungen bisher nicht auf. Dementsprechend wurde auch die Natur der seitens der Beschwerdeführerin bezogenen Leistungen und die Frage, inwiefern diese im Rahmen der unternehmerischen Tätigkeit der Beschwerdeführerin genutzt wurden, weder vor der Vorinstanz noch im vorliegenden Beschwerdeverfahren eingehend thematisiert. Bei dieser Sachlage rechtfertigt es sich, die Sache an die Vorinstanz zurückzuweisen, damit diese abklärt, in welchem Umfang der Beschwerdeführerin die Vergütung der Mehrwertsteuer zu gewähren ist (E. 1.4.2).</w:t>
      </w:r>
    </w:p>
    <w:p>
      <w:r>
        <w:rPr>
          <w:b/>
        </w:rPr>
        <w:t>E. 7</w:t>
      </w:r>
    </w:p>
    <w:p>
      <w:r>
        <w:t>Zusammenfassend ist somit festhalten, dass die Beschwerde insofern gutzuheissen ist, als die Beschwerdeführerin nun den Nachweis der Unternehmenseigenschaft erbracht hat und somit grundsätzlich die Voraussetzungen für die Vergütung der Mehrwertsteuer erfüllt, die Sache jedoch zur Klärung, in welchem Umfang der Beschwerdeführerin die Vergütung der Mehrwertsteuer zu gewähren ist, an die Vorinstanz zurückzuweisen ist.</w:t>
      </w:r>
    </w:p>
    <w:p>
      <w:r>
        <w:rPr>
          <w:b/>
        </w:rPr>
        <w:t>E. 8</w:t>
      </w:r>
    </w:p>
    <w:p>
      <w:r>
        <w:t>Abschliessend bleibt über die Verfahrenskosten und eine allfällige Partei-entschädigung zu befinden.</w:t>
      </w:r>
    </w:p>
    <w:p>
      <w:r>
        <w:rPr>
          <w:b/>
        </w:rPr>
        <w:t>E. 8.1.1</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In der Verwaltungsrechtspflege des Bundes gilt die Rückweisung der Sache an die Vorinstanz zu weiteren Abklärungen und neuem Entscheid (mit noch offenem Ausgang) praxisgemäss als volles Obsiegen der Beschwerde führenden Partei (BGE 137 V 2010 E. 7.1; Urteil des BVGer A-978/2020 vom 31. März 2020 E. 4.1). Demnach hätte die obsiegende Beschwerdeführerin gestützt auf Art. 63 Abs. 1 VwVG im Grundsatz keine Verfahrenskosten zu tragen. Es ist jedoch weiter das nachfolgend Ausgeführte zu berücksichtigen.</w:t>
      </w:r>
    </w:p>
    <w:p>
      <w:r>
        <w:rPr>
          <w:b/>
        </w:rPr>
        <w:t>E. 8.1.2</w:t>
      </w:r>
    </w:p>
    <w:p>
      <w:r>
        <w:t>Gestützt auf Art. 63 Abs. 3 VwVG können einer obsiegenden Partei Verfahrenskosten auferlegt werden, die sie durch Verletzung von Verfahrenspflichten verursacht hat. Das ist grundsätzlich dann der Fall, wenn die beschwerdeführende Partei das Verfahren vor Bundesverwaltungsgericht oder der Vorinstanz unnötig provoziert oder verzögert hat, weil sie Mitwirkungspflichten verletzt hat, beispielsweise, weil sie entscheidende Beweismittel, die zur Gutheissung der Beschwerde führen, verspätet eingereicht hat (Urteil des BVGer A-2496/2020 vom 18. November 2020 E. 4.2.2). Indem die Beschwerdeführerin das entscheidende Beweismittel, welches zur Gutheissung ihrer Beschwerde geführt hat, nämlich eine für die Vergütungsperiode gültige Unternehmensbescheinigung, erst im Laufe des Verfahrens vor Bundesverwaltungsgericht beschafft und eingereicht hat, hat sie ihre Mitwirkungspflichten verletzt und das Verfahren vor Bundesverwaltungsgericht unnötig provoziert.</w:t>
      </w:r>
    </w:p>
    <w:p>
      <w:r>
        <w:rPr>
          <w:b/>
        </w:rPr>
        <w:t>E. 8.1.3</w:t>
      </w:r>
    </w:p>
    <w:p>
      <w:r>
        <w:t>Die auf CHF 1'000 festzusetzenden Verfahrenskosten (Art. 1, 2 und 4 des Reglements vom 21. Februar 2008 über die Kosten und Entschädigungen vor dem Bundesverwaltungsgericht [VGKE, SR 173.320.2]) sind somit vollumfänglich der Beschwerdeführerin aufzuerlegen und dem geleisteten Kostenvorschuss in gleicher Höhe zu entnehmen.</w:t>
      </w:r>
    </w:p>
    <w:p>
      <w:r>
        <w:rPr>
          <w:b/>
        </w:rPr>
        <w:t>E. 8.2</w:t>
      </w:r>
    </w:p>
    <w:p>
      <w:r>
        <w:t>Auch bei der Zusprechung einer allfälligen Parteientschädigung an die obsiegende Beschwerdeführerin ist zu berücksichtigen, dass nur notwendige und verhältnismässig hohe Kosten zuzusprechen sind (Art. 64 Abs. 1 VwVG; Urteil A-2496/2020 E. 4.3). In Anbetracht des Umstandes, dass die Beschwerdeführerin das hier entscheidende Beweismittel bereits im Verfahren vor der Vorinstanz hätte beschaffen und einreichen können, sind die Kosten nicht als notwendig zu betrachten. Ihr ist daher keine Parteientschädigung zuzusprechen.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