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A-2543/2017 vom 3. Mai 2018</w:t>
      </w:r>
    </w:p>
    <w:p>
      <w:r>
        <w:t>Bundesverwaltungsgericht, 2018-05-03, DE</w:t>
      </w:r>
    </w:p>
    <w:p>
      <w:r>
        <w:rPr>
          <w:b/>
        </w:rPr>
        <w:t xml:space="preserve">Quelle: </w:t>
      </w:r>
      <w:r>
        <w:t>https://mcp.opencaselaw.ch/entscheid/bvger_A-2543_2017</w:t>
      </w:r>
    </w:p>
    <w:p>
      <w:r>
        <w:t>FR: TAF A-2543/2017 du 3 mai 2018</w:t>
      </w:r>
    </w:p>
    <w:p>
      <w:r>
        <w:t>IT: TAF A-2543/2017 del 3 maggio 2018</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Amtshilfeersuchen am 3. Februar 2016, also nach dem Inkrafttreten des StAhiG am 1. Februar 2013 eingereicht wurde, richtet sich die Durchführung dieses Abkommens nach diesem Gesetz (vgl. Art. 24 StAhiG e contrario). Zu beachten ist sodann die Konkretisierung des StAhiG auf Verordnungsstufe, das heisst die aStAhiV bzw. die Verordnung vom 23. November 2016 über die internationale Amtshilfe in Steuersachen (Steueramtshilfeverordnung, StAhiV, SR 651.11). Die aStAhiV war vom 1. August 2014 bis 31. Dezember 2016 in Kraft (vgl. Art. 4 aStAhiV und Art. 15 StAhiV). Die StAhiV wurde per 1. Januar 2017 in Kraft gesetzt (Art. 17 StAhiV). In inhaltlicher Hinsicht wurden die im vorliegenden Fall einschlägigen Vorschriften der aStAhiV unverändert in die Bestimmungen der StAhiV überführt. Deshalb muss hier nicht geklärt werden, ob bei der zu beurteilenden Sachverhaltskonstellation die frühere oder die heute geltende Steueramtshilfeverordnung massgebend ist.</w:t>
      </w:r>
    </w:p>
    <w:p>
      <w:r>
        <w:rPr>
          <w:b/>
        </w:rPr>
        <w:t>E. 1.2</w:t>
      </w:r>
    </w:p>
    <w:p>
      <w:r>
        <w:t>Das Bundesverwaltungsgericht ist zur Beurteilung von Beschwerden gegen Schlussverfügungen der ESTV betreffend die Amtshilfe gestützt auf das DBA-NL zuständig (vgl. Art. 19 Abs. 5 StAhiG i.V.m. Art. 31-33 VGG). Das Verfahren vor diesem Gericht richtet sich nach dem VwVG, soweit das VGG nichts anderes bestimmt (Art. 37 VGG).</w:t>
      </w:r>
    </w:p>
    <w:p>
      <w:r>
        <w:rPr>
          <w:b/>
        </w:rPr>
        <w:t>E. 1.3</w:t>
      </w:r>
    </w:p>
    <w:p>
      <w:r>
        <w:t>Der Beschwerdeführer erfüllt als Verfügungsadressat die Voraussetzungen der Beschwerdebefugnis (vgl. Art. 19 Abs. 2 StAhiG i.V.m. Art. 48 Abs. 1 VwVG).</w:t>
      </w:r>
    </w:p>
    <w:p>
      <w:r>
        <w:rPr>
          <w:b/>
        </w:rPr>
        <w:t>E. 1.4</w:t>
      </w:r>
    </w:p>
    <w:p>
      <w:r>
        <w:t>Da die Beschwerde im Übrigen form- und fristgerecht eingereicht wurde (Art. 50 Abs. 1 und Art. 52 Abs. 1 VwVG), ist darauf einzutreten.</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Rz. 988 und 990 ff.; Pierre Tschannen et al., Allgemeines Verwaltungsrecht, 4. Aufl. 2014, § 30 Rz. 23), und der Grundsatz der Rechtsanwendung von Amtes wegen (vgl. Art. 62 Abs. 4 VwVG).</w:t>
      </w:r>
    </w:p>
    <w:p>
      <w:r>
        <w:rPr>
          <w:b/>
        </w:rPr>
        <w:t>E. 2</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Amtshilfeersuchen vom 3. Februar 2016 nach dem Inkrafttreten des DBA-NL eingereicht wurde, sind nach der zuletzt genannten Abkommensklausel Art. 26 DBA-NL und Ziff. XVI des Protokolls zum DBA-NL intertemporalrechtlich anwendbar, zumal das Ersuchen Informationen zu einem Zeitraum nach dem 1. März 2010 betrifft. Die am 31. Oktober 2011 abgeschlossene und gleichentags in Kraft getretene Verständigungsvereinbarung über die Auslegung von Ziff. XVI Bst. b des Protokolls zum DBA-NL (nachfolgend: Verständigungsvereinbarung zum DBA-NL) ist ab ihrem Inkrafttreten anzuwenden (Abs. 4 Verständigungsvereinbarung DBA-NL; vgl. zum Ganzen: BGE 143 II 136 E. 5.1; Urteile des BVGer A-7561/2016 vom 25. August 2017 E. 1.5 und A-404/2017 vom 8. Juni 2017 E. 2).</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(vgl. zu den Beschränkungen dieser Amtshilfepflicht aber Art. 26 Abs. 3 und 5 DBA-NL, die im Rahmen des vorliegenden Verfahrens jedoch nicht angewendet werden müssen).</w:t>
      </w:r>
    </w:p>
    <w:p>
      <w:r>
        <w:rPr>
          <w:b/>
        </w:rPr>
        <w:t>E. 3.2</w:t>
      </w:r>
    </w:p>
    <w:p>
      <w:r>
        <w:t>Das Protokoll zum DBA-NL hält insbesondere Folgendes fest (vgl. Ziff. XVI Bst. c des Protokolls):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Die Verständigungsvereinbarung zum DBA-NL bestimmt in ihrem 3. Absatz Bst. a unter anderem: «die in eine Überprüfung oder Untersuchung einbezogene Person identifiziert, wobei diese Identifikation auch auf andere Weise als durch Angabe des Namens und der Adresse erfolgen kann;»</w:t>
      </w:r>
    </w:p>
    <w:p>
      <w:r>
        <w:rPr>
          <w:b/>
        </w:rPr>
        <w:t>E. 3.3</w:t>
      </w:r>
    </w:p>
    <w:p>
      <w:r>
        <w:t>Das Bundesgericht kam in seinem Urteil BGE 143 II 136 zum Schluss, dass sich die rechtliche Grundlage für die Leistung von internationaler Amtshilfe bei Gruppenersuchen aus dem einschlägigen Abkommen ergeben müsse. Die seit dem 1. August 2014 in Kraft stehenden Vorschriften des StAhiG zu Gruppenersuchen gemäss Gesetzesänderung vom 21. März 2014 (AS 2014 2309) würden nur dann zum Tragen kommen, wenn das einschlägige Abkommen selbst solche Ersuchen zulasse (BGE 143 II 136 E. 4). Das Bundesgericht hielt im erwähnten Urteil ferner fest, dass das DBA-NL in Verbindung mit der Verständigungsvereinbarung zu diesem Abkommen bei Gruppenersuchen ohne Identifikation der betroffenen Personen mittels Angabe der Namen Amtshilfe grundsätzlich erlaube (BGE 143 II 136 E. 5; unlängst bestätigt durch: Urteil des BGer 2C_646/2017 vom 9. April 2018 E. 3.3).</w:t>
      </w:r>
    </w:p>
    <w:p>
      <w:r>
        <w:rPr>
          <w:b/>
        </w:rPr>
        <w:t>E. 3.4</w:t>
      </w:r>
    </w:p>
    <w:p>
      <w:r>
        <w:t>Zur Beantwortung der Frage, ob sich das ohne namentliche Erwähnung der betroffenen Personen gestellte (damalige) Gruppenersuchen des BD vom 23. Juli 2015 «von einer unzulässigen Fishing Expedition abzugrenzen vermag», zog das Bundesgericht zum einen Ausführungen aus dem OECD-Kommentar (offizieller Kommentar zum OECD-Musterabkommen) in der Fassung des Updates vom 17. Juli 2012 und zum anderen Art. 2 Abs. 1 aStAhiV mit der in dieser Vorschrift enthaltenen Aufzählung der in einem Gruppenersuchen zu machenden Angaben heran (vgl. E. 6.1 ff. des genannten Urteils). Dabei erklärte es die Bestimmungen des StAhiG zu Gruppenersuchen sowie sinngemäss auch Art. 2 Abs. 1 aStAhiV (nur) insoweit für anwendbar, als damit die - Amtshilfe bei Gruppenersuchen zulassende staatsvertragliche - Regelung des DBA-NL konkretisiert wird (BGE 143 II 136 E. 6.2). Das Bundesgericht nannte sodann aus dem OECD-Kommentar in der erwähnten Fassung das folgende Beispiel für eine Situation, bei welcher (gemäss diesem Kommentar) keine Amtshilfe gestützt auf ein Gruppenersuchen zu leisten ist (siehe zum Ganzen E. 6.1.2 des Urteils): «8.1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 Das Bundesgericht erwog zudem namentlich das Folgende, um die Zulässigkeit der Amtshilfeleistung gestützt auf das (damalige) Gruppenersuchen des BD vom 23. Juli 2015 zu begründen (BGE 143 II 136 E. 6.3):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 [Es] würde [...]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[vom 23. Juli 2015] erweist sich im Vergleich zu diesem [...]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 Insgesamt lässt sich das Ersuchen daher von einer verpönten Beweisausforschung abgrenzen und erscheint damit - wenn auch im Sinne eines Grenzfalls - gerade noch als zulässig.» Die natürliche Person, über welche die ESTV seinerzeit Informationen an den BD zu übermitteln beabsichtigte, fiel nach Ansicht des Bundesgerichts unter die im Amtshilfeersuchen definierte Gruppe (vgl. BGE 143 II 136 E. 6.4). Das Bundesgericht bestätigte deshalb die von der ESTV getroffene Amtshilfeanordnung.</w:t>
      </w:r>
    </w:p>
    <w:p>
      <w:r>
        <w:rPr>
          <w:b/>
        </w:rPr>
        <w:t>E. 3.5</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142 II 218 E. 3.3, BGE 142 II 161 E. 2.1.3 f.; statt vieler: Urteil des BVGer A-7561/2016 vom 25. August 2017 E. 2.2, mit weiteren Hinweisen).</w:t>
      </w:r>
    </w:p>
    <w:p>
      <w:r>
        <w:rPr>
          <w:b/>
        </w:rPr>
        <w:t>E. 3.6</w:t>
      </w:r>
    </w:p>
    <w:p>
      <w:r>
        <w:t>Wie jedes staatliche Handeln muss auch die Amtshilfe verhältnismässig sein (BGE 139 II 404 E. 7.1 ff., insb. E. 7.2.3; Urteil des BVGer A-6011/2012 vom 13. März 2013 E. 7.1.1, mit weiterem Hinweis). Das verfassungsmässige Gebot der Verhältnismässigkeit gemäss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(BGE 126 I 112 E. 5b, mit weiterem Hinweis; Urteile des BVGer A-7561/2016 vom 25. August 2017 E. 2.3 und A-5390/2013 vom 6. Januar 2014 E. 5.1.1).</w:t>
      </w:r>
    </w:p>
    <w:p>
      <w:r>
        <w:rPr>
          <w:b/>
        </w:rPr>
        <w:t>E. 3.7</w:t>
      </w:r>
    </w:p>
    <w:p>
      <w:r>
        <w:t>Art. 3 Bst. c StAhiG besagt, dass ein Amtshilfeersuchen dann ein Gruppenersuchen ist, wenn damit «Informationen über mehrere Personen verlangt werden, die nach einem identischen Verhaltensmuster vorgegangen sind und anhand präziser Angaben identifizierbar sind». Das Ersuchen muss, um dem Grundsatz der Verhältnismässigkeit (E. 3.6) und Art. 3 Abs. 1 Bst. a StAhiV (vgl. Art. 2 Abs. 1 aStAhiV) i.V.m. Art. 6 Abs. 2bis StAhiG zu entsprechen, möglichst genaue und vollständige Angaben über die Person enthalten, gegen die sich das Verfahren richtet (Urteil des BVGer A-7561/2016 vom 25. August 2017 E. 2.4, mit weiterem Hinweis).</w:t>
      </w:r>
    </w:p>
    <w:p>
      <w:r>
        <w:rPr>
          <w:b/>
        </w:rPr>
        <w:t>E. 3.8</w:t>
      </w:r>
    </w:p>
    <w:p>
      <w:r>
        <w:t>Dem Grundsatz der Verhältnismässigkeit entspricht es auch, dass bei Gruppenersuchen - bei Vorliegen der Voraussetzungen für die Leistung von Amtshilfe - nur Daten über jene Personen übermittelt werden, welche die im Amtshilfeersuchen genannten Kriterien erfüllen. Dabei genügt es nicht, dass die Personen die Kriterien möglicherweise erfüllen, sondern es müssen genügend Anhaltspunkte vorliegen, dass die Kriterien tatsächlich erfüllt sind (E. 3.6; vgl. Urteile des BVGer A-5390/2013 vom 6. Januar 2014 E. 4 und A-6011/2012 vom 13. März 2013 E. 5).</w:t>
      </w:r>
    </w:p>
    <w:p>
      <w:r>
        <w:rPr>
          <w:b/>
        </w:rPr>
        <w:t>E. 4.1</w:t>
      </w:r>
    </w:p>
    <w:p>
      <w:r>
        <w:t>Das vorliegende Ersuchen des BD vom 3. Februar 2016 ist unbestrittenermassen rechtswesentlich vergleichbar mit dem Gruppenersuchen, das Anlass zum bundesgerichtlichen Verfahren 2C_276/2016 (teilweise publiziert in: BGE 143 II 136) gab (vgl. auch Urteil des BGer 2C_276/2016 vom 12. September 2016 E. 1.3.3 [nicht publiziert in BGE 143 II 136], wo darauf hingewiesen wurde, dass nebst dem streitigen Ersuchen bereits ein weiteres, sich auf das DBA-NL stützendes Gruppenersuchen hängig sei; vgl. sodann: Urteil des BVGer A-404/2017 vom 8. Juni 2017 E. 5.1). Bei dieser Sachlage besteht hier kein Anlass, die vom Bundesgericht bejahte Frage, ob Gruppenersuchen ohne Identifikation der betroffenen Personen mittels Angabe der Namen unter dem DBA-NL grundsätzlich zulässig sind (vgl. vorn E. 3.3), erneut aufzuwerfen. Dies gilt umso mehr, als der Beschwerdeführer die prinzipielle Zulässigkeit solcher Ersuchen nicht in Frage stellt (vgl. Urteile des BVGer A-7561/2016 vom 25. August 2017 E. 3.1 und A-404/2017 vom 8. Juni 2017 E. 5.1). Vorliegend ist sodann nicht umstritten und es ergibt sich im Übrigen auch nicht aus den Akten, dass sich das Ersuchen vom 3. Februar 2016 nicht von einer unzulässigen «fishing expedition» abzugrenzen vermag (vgl. E. 3.4; BGE 143 II 136 E. 6.3, mit welchem das vorliegende Ersuchen - wie erwähnt - unbestrittenermassen rechtswesentlich vergleichbar ist).</w:t>
      </w:r>
    </w:p>
    <w:p>
      <w:r>
        <w:rPr>
          <w:b/>
        </w:rPr>
        <w:t>E. 4.2.1</w:t>
      </w:r>
    </w:p>
    <w:p>
      <w:r>
        <w:t>Der Beschwerdeführer macht jedoch geltend, er falle nicht unter die definierte Gruppe, da er nie am Konto X wirtschaftlich berechtigt gewesen sei und somit als unbeteiligte Drittperson gelte, weshalb keine Amtshilfe zu gewähren sei. Er habe zwar das Kontoeröffnungsformular bei der damaligen Bank unterzeichnet, könne sich aber nicht mehr daran erinnern. Freilich sei er auf den «know-you-customer» Dokumenten formell als wirtschaftlicher Berechtigter aufgeführt. Dennoch habe er nie effektiv als Kontoinhaber fungiert und habe auch nie irgendwelche Ein- oder Auszahlungen getätigt oder Überweisungen erhalten oder ausgelöst. Wem Vermögenswerte und Vermögenszuflüsse zuzurechnen seien, beurteile sich primär nach wirtschaftlichen und nicht nach rechtlichen Gesichtspunkten. Dies sei in einer schriftlichen Erklärung der drei betroffenen Personen vom Dezember 2016 festgehalten und bestätigt worden. Die betroffene Person 1 erkläre ferner, dass sie die Bank mehrmals darauf hingewiesen hätte, dass der Beschwerdeführer versehentlich als Kontoinhaber geführt werde und die Bank diesen «Fehler» aber nicht bereinigt habe. Die entsprechende Aufforderung sei jeweils per Telefon via den zuständigen Kundenberater, welcher während der Dauer der Kontoführung einige Male gewechselt habe, erfolgt. Die Untätigkeit der Bank könne dem Beschwerdeführer nicht zum Nachteil gereichen. Er habe die Bank zunächst telefonisch und sodann durch seine Anwälte in den Niederlanden aufgefordert, ihm sämtliche Bankakten herauszugeben, insbesondere sämtliche Korrespondenz, damit er nachweisen könne, dass er fälschlicherweise als Kontoinhaber geführt worden sei. In den herausgegebenen Unterlagen der Bank fehlten jedoch sämtliche Dokumente zur Korrespondenz zwischen der Bank und den betroffenen Personen («Client Notes» o.Ä.), auf welchen die diversen Telefonate, in welchen mehrmals um Entfernung des Beschwerdeführers als Kontoinhaber gebeten worden sei, ohne weiteres vermerkt sein sollten (vgl. Sachverhalt Bst. G). Die Vorinstanz entgegnet, der Beschwerdeführer werde in den edierten Kontoeröffnungsunterlagen als Kontoinhaber aufgeführt, womit ein hinreichender Anhaltspunkt für die Annahme der Kontoinhaberschaft bzw. wirtschaftliche Berechtigung des Beschwerdeführers vorgelegen habe. Eine schriftliche Erklärung der betroffenen Personen als reine Parteibehauptung würde diesen Verdacht nicht klarerweise und entscheidend zu entkräften vermögen. Weitergehende eigentliche Abklärungen oblägen nicht der ESTV oder dem Bundesverwaltungsgericht, sondern der zuständigen Behörde im ersuchenden Staat. Gelinge es dem Beschwerdeführer selbst nicht, den begründeten Tatverdacht mittels Urkunden klarerweise und entscheidend zu entkräften, sei die Amtshilfe zu gewähren. Das Editionsbegehren sei demnach abzuweisen (vgl. Sachverhalt Bst. H).</w:t>
      </w:r>
    </w:p>
    <w:p>
      <w:r>
        <w:rPr>
          <w:b/>
        </w:rPr>
        <w:t>E. 4.2.2</w:t>
      </w:r>
    </w:p>
    <w:p>
      <w:r>
        <w:t>Zu prüfen ist, ob hinreichende Anhaltspunkte (in den Akten) für die Annahme vorliegen (vgl. E. 3.8), dass der Beschwerdeführer am Konto X wirtschaftlich berechtigt bzw. Kontoinhaber war (E. 4.2.3). Bejahendenfalls ist die Amtshilfe nur dann zu verweigern, wenn es dem Beschwerdeführer gelingt, diesen Verdacht mittels Urkunden klarerweise und entscheidend zu entkräften (E. 4.2.4; statt vieler: BGE 139 II 451 E. 2.3.3; vgl. auch Urteil des BVGer A-1463/2016 vom 22. September 2016 E. 4.2 und E. 6.3.4, mit weiteren Hinweisen).</w:t>
      </w:r>
    </w:p>
    <w:p>
      <w:r>
        <w:rPr>
          <w:b/>
        </w:rPr>
        <w:t>E. 4.2.3</w:t>
      </w:r>
    </w:p>
    <w:p>
      <w:r>
        <w:t>Zur Frage, ob sich aus den Akten hinreichende Anhaltspunkte dafür ergeben, dass tatsächlich der Beschwerdeführer am Konto X wirtschaftlich berechtigt bzw. Kontoinhaber war, führt die Vorinstanz ins Feld, der Beschwerdeführer werde in den edierten Kontoeröffnungsunterlagen als Kontoinhaber aufgeführt (E. 4.2.1). In den Akten findet sich der «Antrag zur Eröffnung einer Geschäftsbeziehung (natürliche Person)» mit der Bank E._______ vom 17. Oktober 2001 über das Konto X. Unter anderem der Beschwerdeführer wird dabei als Vertragspartner benannt und hat den Antrag mit seiner Unterschrift versehen (Bankakten Paginiernummer [nachfolgend: PN] 5, S. 2-4). Zudem ist der Beschwerdeführer auf dem «SEI-XML File» als «account holder» bezeichnet (PN 5, S. 1). Dies alles stellt der Beschwerdeführer nicht in Abrede bzw. bestätigt in seiner Beschwerde sogar, das Kontoeröffnungsformular bei der damaligen Bank unterzeichnet zu haben und auf den Dokumenten formell als wirtschaftlicher Berechtigter aufgeführt zu sein (E. 4.2.1). Auch in dem - sich in den Akten befindlichen - Schreiben vom Dezember 2016 («statement») bestätigt der Beschwerdeführer, die Kontoeröffnungsunterlagen unterzeichnet zu haben (Beschwerdebeilage [nachfolgend: BB] 8, S. 1 f. = Vernehmlassungsbeilage [nachfolgend: VB] 25, S. 17 f.). Damit kann festgehalten werden, dass sich aus den Akten tatsächlich hinreichende Anhaltspunkte dafür ergeben, dass der Beschwerdeführer Kontoinhaber bzw. wirtschaftlicher Berechtigter des Konto X war.</w:t>
      </w:r>
    </w:p>
    <w:p>
      <w:r>
        <w:rPr>
          <w:b/>
        </w:rPr>
        <w:t>E. 4.2.4</w:t>
      </w:r>
    </w:p>
    <w:p>
      <w:r>
        <w:t>Damit ist zu prüfen, ob der Beschwerdeführer diesen Verdacht mittels Urkunden klarerweise und entscheidend entkräften kann. Der Beschwerdeführer macht insbesondere geltend, er habe zwar das Kontoeröffnungsformular bei der damaligen Bank unterzeichnet, könne sich aber nicht mehr daran erinnern. Zwar sei er auf den Dokumenten formell als wirtschaftlicher Berechtigter aufgeführt, habe aber nie effektiv als Kontoinhaber fungiert und zu keinem Zeitpunkt irgendwelche Ein- oder Auszahlungen getätigt; er verweist auf eine schriftliche Erklärung der drei betroffenen Personen vom Dezember 2016. Die Bank sei mehrmals telefonisch darauf hingewiesen worden, dass er versehentlich als Kontoinhaber geführt werde, habe ihren «Fehler» aber nicht bereinigt (E. 4.2.1). Es kann zwar sein, dass sich der Beschwerdeführer nicht mehr daran zu erinnern vermag, die Kontoeröffnungsunterlagen unterzeichnet zu haben. Mit dieser nicht belegten Behauptung vermag der Beschwerdeführer jedoch die Annahme, dass er Kontoinhaber des Konto X war, nicht klarerweise und entscheidend zu entkräften. Gleich verhält es sich mit seiner nicht substantiierten und unbelegt gebliebenen Behauptung, er habe nie effektiv als Kontoinhaber fungiert oder irgendwelche Ein- oder Auszahlungen getätigt: Der Beschwerdeführer beruft sich hierbei nämlich lediglich auf das Schreiben vom Dezember 2016 («statement») (BB 8, S. 1 f. = VB 25, S. 17 f.), welches aber nicht die notwendige Beweiskraft besitzt. Denn selbst (rechtsgeschäftliche und andere) Erklärungen erhalten keine verstärkte Beweiskraft für ihre inhaltliche Richtigkeit, wenn sie öffentlich beurkundet worden sind. Zwar geniessen öffentliche Urkunden von Gesetzes wegen erhöhte Beweiskraft, d.h. sie erbringen für die durch sie bezeugten Tatsachen vollen Beweis, solange nicht die Unrichtigkeit ihres Inhalts nachgewiesen ist (Art. 9 Abs. 1 ZGB; was überdies auch im Verwaltungsverfahren zum Tragen kommt). Mit Bezug auf den Urkundeninhalt umfasst die verstärkte Beweiskraft jedoch nur das, was die Urkundsperson nach Massgabe der Sachlage kraft eigener Prüfung als richtig bescheinigen kann (Urteil des BVGer A-6385/2012 vom 6. Juni 2013 E. 4.3). Dies muss erst recht für die vorliegende, nicht öffentlich beurkundete Erklärung der betroffenen Personen 1 und 3 sowie des Beschwerdeführers - alle drei Geschwister - gelten, welche als eine Parteiauskunft zu qualifizieren ist. Jedenfalls erscheint zumindest widersprüchlich und nicht glaubhaft, dass der Beschwerdeführer die Kontoeröffnungsunterlagen - unter Vorlage seines Ausweispapieres - unterzeichnet hat, aber nicht als «Kunde» bzw. wirtschaftlich Berechtigter fungiert haben soll. Jedenfalls genügt das Schreiben vom Dezember 2016 nicht, den vorliegenden Verdacht klarerweise und entscheidend zu entkräften.</w:t>
      </w:r>
    </w:p>
    <w:p>
      <w:r>
        <w:rPr>
          <w:b/>
        </w:rPr>
        <w:t>E. 4.2.5</w:t>
      </w:r>
    </w:p>
    <w:p>
      <w:r>
        <w:t>Es ist sodann der Vorinstanz beizupflichten, dass weitergehende eigentliche Abklärungen nicht dem Bundesverwaltungsgericht obliegen, sondern der zuständigen Behörde im ersuchenden Staat. Gelingt es dem Beschwerdeführer selbst nicht, den begründeten Tatverdacht mittels Urkunden klarerweise und entscheidend zu entkräften, ist es nicht am Bundesverwaltungsgericht, solche Urkunden zu beschaffen (vgl. BGE 139 II 451 E. 2.3.3; ob ausschliesslich Urkunden erlaubt sind: vgl. hernach). Überdies ist das Editionsbegehren des Beschwerdeführers auch zu wenig substantiiert. Die (angebliche) Aufforderung des Bruders an die Bank, den Beschwerdeführer als Kontoinhaber zu löschen, sei jeweils per Telefon an den zuständigen Kundenberater erfolgt, wobei der Beschwerdeführer unter anderem aber weder Namen noch konkrete Daten nennt. Selbst wenn dem Bundesverwaltungsgericht solche Telefonnotizen bzw. «Client Notes» vorlägen, wären diese nicht viel mehr als eine «Parteibehauptung» des Beschwerdeführers bzw. seines Bruders an die Bank, nicht Kontoinhaber des Kontos X zu sein, zu werten und erbrächten somit nicht den erforderlichen Nachweis. In diesem Fall liesse sich das «untätig bleiben» der Bank sogar dahingehend deuten, als dass diese selbst dem Beschwerdeführer keinen Glauben schenkte und ihn weiterhin als Kontoinhaber aufführte.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weiteren Hinweisen). Die Zeugen- und Parteibefragungen, welche in der Beschwerde beantragt werden, müssen folglich mangels Relevanz vorliegend schon deshalb nicht durchgeführt werden. Ebenfalls von vornherein nicht geklärt zu werden braucht, ob Konstellationen denkbar sein könnten, in denen Parteibefragungen bei Amtshilfeverfahren im Geltungsbereich des StAhiG überhaupt zulässige Beweismittel wären oder ob - wie dies in der Rechtsprechung vor Inkrafttreten des StAhiG mitunter festgehalten wurde (vgl. etwa Urteil des BVGer A-6677/2010 vom 6. Juni 2011 E. 2.1 und E. 4.4.2) - in internationalen Amtshilfeverfahren in Steuersachen ohnehin kein Raum für ein umfangreiches Beweisverfahren bleibt und damit der Beweis ausschliesslich mittels Urkunden zu erfolgen hat (zum Ganzen: Urteil des BVGer A-6314/2015 vom 25. Februar 2016 E. 8).</w:t>
      </w:r>
    </w:p>
    <w:p>
      <w:r>
        <w:rPr>
          <w:b/>
        </w:rPr>
        <w:t>E. 4.3</w:t>
      </w:r>
    </w:p>
    <w:p>
      <w:r>
        <w:t>Da sich aus den Akten hinreichende Anhaltspunkte dafür ergeben, dass der Beschwerdeführer das Kriterium der Kontoinhaberstellung erfüllt, welches (kumulativ mit den anderen) erfüllt sein muss, damit er als vom Amtshilfeersuchen betroffene Person gilt, und es dem Beschwerdeführer auch nicht gelungen ist, diesen Verdacht klarerweise und entscheidend zu entkräften, fällt er unter die vom Amtshilfeersuchen des BD vom 3. Februar 2016 betroffene Gruppe bzw. ist die Vorinstanz zu Recht zum Schluss gelangt, es sei dem BD Amtshilfe zu gewähren. Die Beschwerde erweist sich nach dem Gesagten als unbegründet und ist abzuweisen.</w:t>
      </w:r>
    </w:p>
    <w:p>
      <w:r>
        <w:rPr>
          <w:b/>
        </w:rPr>
        <w:t>E. 5.1</w:t>
      </w:r>
    </w:p>
    <w:p>
      <w:r>
        <w:t>Ausgangsgemäss sind die Verfahrenskosten, welche auf Fr. 3'500.--festgesetzt werden, dem Beschwerdeführer aufzuerlegen (Art. 63 Abs. 1 VwVG i.V.m. Art. 4 des Reglements vom 21. Februar 2008 über die Kosten und Entschädigungen vor dem Bundesverwaltungsgericht [VGKE, SR 173.320.2]). Dieser Betrag ist dem geleisteten Kostenvorschuss von Fr. 5'000.-- zu entnehmen. Der Restbetrag von Fr. 1'500.-- ist dem Beschwerdeführer nach Eintritt der Rechtskraft des vorliegenden Urteils zurückzuerstatten.</w:t>
      </w:r>
    </w:p>
    <w:p>
      <w:r>
        <w:rPr>
          <w:b/>
        </w:rPr>
        <w:t>E. 5.2</w:t>
      </w:r>
    </w:p>
    <w:p>
      <w:r>
        <w:t>Eine Parteientschädigung an den unterliegenden Beschwerdeführer ist nicht zuzusprechen (vgl. Art. 64 Abs. 1 VwVG e contrario; Art. 7 Abs. 1 VGKE e contrario).</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