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A-251/2023 vom 16. Februar 2024</w:t>
      </w:r>
    </w:p>
    <w:p>
      <w:r>
        <w:t>Bundesverwaltungsgericht, 2024-02-16, DE</w:t>
      </w:r>
    </w:p>
    <w:p>
      <w:r>
        <w:rPr>
          <w:b/>
        </w:rPr>
        <w:t xml:space="preserve">Quelle: </w:t>
      </w:r>
      <w:r>
        <w:t>https://mcp.opencaselaw.ch/entscheid/bvger_A-251_2023</w:t>
      </w:r>
    </w:p>
    <w:p>
      <w:r>
        <w:t>FR: TAF A-251/2023 du 16 février 2024</w:t>
      </w:r>
    </w:p>
    <w:p>
      <w:r>
        <w:t>IT: TAF A-251/2023 del 16 febbraio 2024</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Vorliegend stellt der angefochtene Einspracheentscheid vom 29. November 2022 eine Verfügung nach Art. 5 VwVG dar. Eine Ausnahme nach Art. 32 VGG liegt nicht vor. Zudem ist die Vorinstanz eine Behörde im Sinne von Art. 33 VGG. Das Bundesverwaltungsgericht ist demnach für die Beurteilung der vorliegenden Beschwerde zuständig.</w:t>
      </w:r>
    </w:p>
    <w:p>
      <w:r>
        <w:rPr>
          <w:b/>
        </w:rPr>
        <w:t>E. 1.2</w:t>
      </w:r>
    </w:p>
    <w:p>
      <w:r>
        <w:t>Das Verfahren vor dem Bundesverwaltungsgericht richtet sich nach dem VwVG, soweit das VGG oder das Mehrwertsteuergesetz vom 12. Juni 2009 (MWSTG, SR 641.20) nichts anderes bestimmen (Art. 37 VGG; Art. 81 Abs. 1 MWSTG).</w:t>
      </w:r>
    </w:p>
    <w:p>
      <w:r>
        <w:rPr>
          <w:b/>
        </w:rPr>
        <w:t>E. 1.3</w:t>
      </w:r>
    </w:p>
    <w:p>
      <w:r>
        <w:t>Der Einspracheentscheid ist an die Beschwerdeführerin adressiert, welche von diesem in rechtlicher und tatsächlicher Hinsicht betroffen ist und am vorinstanzlichen Verfahren teilgenommen hat. Sie ist daher zur Beschwerde legitimiert (vgl. Art. 48 Abs. 1 VwVG). Die Beschwerde wurde im Übrigen frist- und formgerecht eingereicht (Art. 50 Abs. 1 und Art. 52 Abs. 1 VwVG). Auf die Beschwerde ist einzutreten.</w:t>
      </w:r>
    </w:p>
    <w:p>
      <w:r>
        <w:rPr>
          <w:b/>
        </w:rPr>
        <w:t>E. 1.4</w:t>
      </w:r>
    </w:p>
    <w:p>
      <w:r>
        <w:t>Die Beschwerdeführerin hat in ihrer Beschwerde ursprünglich drei Anträge gestellt (Sachverhalt Bst. D.a). Über den Antrag 1 wurde mit Zwischenverfügung vom 7. Februar 2023 entschieden (Sachverhalt Bst. D.d). Darauf ist nicht weiter einzugehen. Der Antrag 2 ist - wie die Beschwerdeführerin selbst feststellt (Sachverhalt Bst. D.e) - mittlerweile gegenstandslos geworden, weil das Urteil des Bundesverwaltungsgerichts A-5458/2021 vom 16. Dezember 2022 nicht angefochten wurde und in Rechtskraft erwachsen ist. Im Folgenden bleibt damit noch über Antrag 3 zu urteilen.</w:t>
      </w:r>
    </w:p>
    <w:p>
      <w:r>
        <w:rPr>
          <w:b/>
        </w:rPr>
        <w:t>E. 1.5</w:t>
      </w:r>
    </w:p>
    <w:p>
      <w:r>
        <w:t>Im Beschwerdeverfahren gilt die Untersuchungsmaxime, wonach die entscheidende Behörde den rechtlich relevanten Sachverhalt von sich aus abklären und darüber ordnungsgemäss Beweis führen muss (teilweise eingeschränkt durch Mitwirkungspflichten der Verfahrensbeteiligten). Die Beschwerdeinstanz nimmt jedoch nicht von sich aus zusätzliche Sachverhaltsabklärungen vor, für die sich aus den vorgebrachten Rügen oder den Akten nicht zumindest Anhaltspunkte ergeben (Urteil des BVGer A-4683/2021 vom 10. November 2023 E. 1.8.1 m.w.H.).</w:t>
      </w:r>
    </w:p>
    <w:p>
      <w:r>
        <w:rPr>
          <w:b/>
        </w:rPr>
        <w:t>E. 1.6</w:t>
      </w:r>
    </w:p>
    <w:p>
      <w:r>
        <w:t>Das Bundesverwaltungsgericht überprüft den angefochtenen Entscheid auf Rechtsverletzungen - einschliesslich unrichtiger oder unvollständiger Feststellung des rechtserheblichen Sachverhalts und Rechtsfehler bei der Ausübung des Ermessens - sowie auf Angemessenheit hin (Art. 49 VwVG). Es wendet das Recht von Amtes wegen an und ist an die Begründung der Parteien nicht gebunden (Art. 62 Abs. 4 VwVG).</w:t>
      </w:r>
    </w:p>
    <w:p>
      <w:r>
        <w:rPr>
          <w:b/>
        </w:rPr>
        <w:t>E. 2.1</w:t>
      </w:r>
    </w:p>
    <w:p>
      <w:r>
        <w:t>Der Bund erhebt eine allgemeine Verbrauchssteuer nach dem System der Netto-Allphasensteuer mit Vorsteuerabzug (Mehrwertsteuer; Art. 130 der Bundesverfassung der Schweizerischen Eidgenossenschaft vom 18. April 1999 [SR 101]; Art. 1 Abs. 1 MWSTG). Als Mehrwertsteuer erhebt er unter anderem die sog. Inlandsteuer (vgl. Art. 1 Abs. 2 Bst. a MWSTG).</w:t>
      </w:r>
    </w:p>
    <w:p>
      <w:r>
        <w:rPr>
          <w:b/>
        </w:rPr>
        <w:t>E. 2.2.1</w:t>
      </w:r>
    </w:p>
    <w:p>
      <w:r>
        <w:t>Über die Steuer wird grundsätzlich vierteljährlich abgerechnet, bei der Abrechnung nach Saldosteuersätzen halbjährlich, wobei die steuerpflichtige Person gegenüber der ESTV innert 60 Tagen nach Ablauf der Abrechnungsperiode unaufgefordert in der vorgeschriebenen Form über die Steuer und die Vorsteuer abzurechnen hat (Art. 35 Abs. 1 Bst. a und b i.V.m. Art. 71 Abs. 1 MWSTG). Die Steuerforderung ist innert 60 Tagen nach Ablauf der Abrechnungsperiode durch die steuerpflichtige Person zu begleichen (Zahlungsfrist, Art. 86 Abs. 1 MWSTG). Bei verspäteter Zahlung ist ohne Mahnung und unabhängig vom Verschulden ein Verzugszins zu bezahlen (Art. 87 Abs. 1 MWSTG).</w:t>
      </w:r>
    </w:p>
    <w:p>
      <w:r>
        <w:rPr>
          <w:b/>
        </w:rPr>
        <w:t>E. 2.2.2</w:t>
      </w:r>
    </w:p>
    <w:p>
      <w:r>
        <w:t>Der Verzugszinssatz im Mehrwertsteuerbereich belief sich gemäss der Zinssatzverordnung EFD (Eidgenössisches Finanzdepartement) vom 25. Juni 2021 (SR 631.014) ab dem 1. Januar 2012 bis zum 31. Dezember 2023 auf 4 % (Art. 108 Bst. a MWSTG i.V.m. Art. 4 Abs. 1 Bst. a sowie Art. 1 Abs. 1 Bst. c Zinssatzverordnung EFD). Vom 20. März 2020 bis zum 31. Dezember 2020 ist bei verspäteter Zahlung der Mehrwertsteuer, der besonderen Verbrauchssteuern, der Lenkungsabgaben und der Zollabgaben kein Verzugszins geschuldet (Art. 2 der Verordnung vom 20. März 2020 über den befristeten Verzicht auf Verzugszinsen bei verspäteter Zahlung von Steuern, Lenkungsabgaben und Zollabgaben sowie Verzicht auf die Darlehensrückerstattung durch die Schweizerische Gesellschaft für Hotelkredit [AS 2020 861; gültig gewesen bis 31. Dezember 2020]). Sind mehrere Abrechnungsperioden betroffen, wird der Verzugszins praxisgemäss ab dem mittleren Verfall erhoben (Urteile des BVGer A-1336/2020 vom 12. Oktober 2021 E. 3.6, A-2589/2020 vom 3. Mai 2021 E. 2.6).</w:t>
      </w:r>
    </w:p>
    <w:p>
      <w:r>
        <w:rPr>
          <w:b/>
        </w:rPr>
        <w:t>E. 2.3</w:t>
      </w:r>
    </w:p>
    <w:p>
      <w:r>
        <w:t>Gemäss Art. 42 Abs. 1 MWSTG verjährt das Recht, eine Steuerforderung festzusetzen, fünf Jahre nach Ablauf der Steuerperiode, in der die Steuerforderung entstanden ist (relative Verjährung). Der Lauf der Verjährungsfrist wird durch eine auf Festsetzung oder Korrektur der Steuerforderung gerichtete empfangsbedürftige schriftliche Erklärung, eine Verfügung, einen Einspracheentscheid, ein Urteil, eine Ankündigung einer Kontrolle oder den Beginn einer unangekündigten Kontrolle unterbrochen (Art. 42 Abs. 2 MWSTG). Mit dem Unterbruch durch die Vorinstanz oder eine Rechtsmittelinstanz beginnt die Verjährungsfrist neu zu laufen und beträgt neu zwei Jahre (Art. 42 Abs 3 MWSTG). Das Recht, die Steuerforderung festzusetzen, verjährt in jedem Fall zehn Jahre nach Ablauf der Steuerperiode, in der die Steuerforderung entstanden ist (absolute Verjährung; Art. 42 Abs. 6 MWSTG). Als Steuerperiode gilt in der Regel das Kalenderjahr (Art. 34 Abs. 2 MWSTG).</w:t>
      </w:r>
    </w:p>
    <w:p>
      <w:r>
        <w:rPr>
          <w:b/>
        </w:rPr>
        <w:t>E. 3.1</w:t>
      </w:r>
    </w:p>
    <w:p>
      <w:r>
        <w:t>Im vorliegenden Verfahren macht die Beschwerdeführerin noch geltend, für die Steuerperiode 2012 sei die absolute Festsetzungsverjährung eingetreten (vgl. Beschwerdeantrag 3, Sachverhalt Bst. D.a).</w:t>
      </w:r>
    </w:p>
    <w:p>
      <w:r>
        <w:rPr>
          <w:b/>
        </w:rPr>
        <w:t>E. 3.1.1</w:t>
      </w:r>
    </w:p>
    <w:p>
      <w:r>
        <w:t>Die Beschwerdeführerin und die Vorinstanz halten übereinstimmend fest, die Festsetzungsverjährung für die Steuerperiode 2012 sei am 1. Januar 2023 eingetreten (vgl. Beschwerde, Rz. 48; Vernehmlassung, Ziff. II.). Somit sei die von der Beschwerdeführerin deklarierte Steuerforderung für die Steuerperiode 2012 per 1. Januar 2023 rechtskräftig geworden, mithin der angefochtene Einspracheentscheid in diesem Punkt aufzuheben.</w:t>
      </w:r>
    </w:p>
    <w:p>
      <w:r>
        <w:rPr>
          <w:b/>
        </w:rPr>
        <w:t>E. 3.1.2</w:t>
      </w:r>
    </w:p>
    <w:p>
      <w:r>
        <w:t>Das Recht, die Steuerforderung festzusetzen, verjährt in jedem Fall zehn Jahre nach Ablauf der Steuerperiode, in der die Steuerforderung entstanden ist (E. 2.3). Die vorliegend relevante Steuerforderung der Steuerperiode 2012 ist im Jahr 2012 entstanden. Diese Steuerperiode lief am 31. Dezember 2012 ab. Somit ist das Recht zur Festsetzung der Steuerforderung für die Steuerperiode 2012 seit dem 1. Januar 2023 absolut verjährt. Folglich ist - mit den Parteien - festzuhalten, dass die von der Beschwerdeführerin deklarierte Steuerforderung für die Steuerperiode 2012 infolge absoluter Verjährung per 1. Januar 2023 rechtskräftig geworden ist (vgl. Art. 43 Abs. 1 Bst. c MWSTG; Urteil des BVGer A-4848/2021 vom 1. April 2022 E. 5.2.2). Darüber hinausgehende Forderungen der Vorinstanz sind verjährt.</w:t>
      </w:r>
    </w:p>
    <w:p>
      <w:r>
        <w:rPr>
          <w:b/>
        </w:rPr>
        <w:t>E. 3.1.3</w:t>
      </w:r>
    </w:p>
    <w:p>
      <w:r>
        <w:t>Von Amtes wegen ist zudem festzuhalten, dass mittlerweile auch die über die Deklaration der Beschwerdeführerin hinausgehende Steuerforderung für die Steuerperiode 2013 verjährt ist, weshalb auch für diese Steuerperiode nur die von der Beschwerdeführerin deklarierte Steuerforderung geschuldet bleibt.</w:t>
      </w:r>
    </w:p>
    <w:p>
      <w:r>
        <w:rPr>
          <w:b/>
        </w:rPr>
        <w:t>E. 3.2.1</w:t>
      </w:r>
    </w:p>
    <w:p>
      <w:r>
        <w:t>Im Weiteren beantragt die Beschwerdeführerin, dass die Steuerperiode 2012 infolge Eintritts der absoluten Verjährung nicht mehr in die Berechnungsbasis der Verzugszinse einfliessen dürfe; es seien dieser Berechnung einzig die Steuerperioden 2013-2016 zugrunde zu legen. Infolgedessen habe eine Neuberechnung des mittleren Verfalls der Verzugszinsen zu erfolgen. Für diese Neuberechnung beantragt die Beschwerdeführerin eine Rückweisung des Verfahrens an die Vorinstanz (Beschwerde, Rz. 50). Die Vorinstanz bestätigt den Antrag der Beschwerdeführerin, dass vorliegend aufgrund der Verjährung der Steuerforderung für die Steuerperiode 2012 eine Neuberechnung des mittleren Verfalls der Verzugszinse zu erfolgen habe. Die Vorinstanz beantragt, der mittlere Verfall sei gemäss ihrer Berechnungsapplikation auf den 31. August 2015 zu legen. Im Übrigen beantragt die Vorinstanz, dass diese Berechnung im vorliegenden Verfahren durch das Bundesverwaltungsgericht vorgenommen werden solle; eine Rückweisung in diesem Punkt sei daher nicht erforderlich (Vernehmlassung, Ziff. III.). Die Parteien beantragen übereinstimmend, der Verzugszins sei auf die für die Steuerperioden 2013-2016 erfolgte Steuerkorrektur von Fr. 73'008.-- zu berechnen (Beschwerde, Antrag 3; Vernehmlassung, Rechtsbegehren 4).</w:t>
      </w:r>
    </w:p>
    <w:p>
      <w:r>
        <w:rPr>
          <w:b/>
        </w:rPr>
        <w:t>E. 3.2.2</w:t>
      </w:r>
    </w:p>
    <w:p>
      <w:r>
        <w:t>Im vorliegenden Fall ist nun noch zu berücksichtigen, dass mittlerweile auch die Steuerperiode 2013 verjährt ist. Damit ist auch die Steuernachforderung für diese Steuerperiode nicht mehr in die Zinsberechnung miteinzubeziehen. In ihrer Vernehmlassung hat die Vorinstanz zwar das Datum des mittleren Verfalls (E. 2.2.2) für die Steuerperioden 2013-2016 neu festgelegt. Jedoch hatte sie noch keine Gelegenheit, den mittleren Verfall für die nunmehr noch nicht verjährten Steuerperioden 2014-2016 festzulegen, dies auf Basis eines Betrages von Fr. 70'015.-- (entsprechend der Steuerkorrektur für die Steuerperioden 2014-2016). Diesbezüglich ist daher die Sache an die Vorinstanz zurückzuweisen, damit sie die Zinsfolgen neu berechnet.</w:t>
      </w:r>
    </w:p>
    <w:p>
      <w:r>
        <w:rPr>
          <w:b/>
        </w:rPr>
        <w:t>E. 3.3</w:t>
      </w:r>
    </w:p>
    <w:p>
      <w:r>
        <w:t>Somit ist die Beschwerde gutzuheissen, soweit sie nicht gegenstandslos geworden ist (vgl. E. 1.4).</w:t>
      </w:r>
    </w:p>
    <w:p>
      <w:r>
        <w:rPr>
          <w:b/>
        </w:rPr>
        <w:t>E. 4.1</w:t>
      </w:r>
    </w:p>
    <w:p>
      <w:r>
        <w:t>Der obsiegenden Beschwerdeführerin sind keine Verfahrenskosten aufzuerlegen (Art. 63 Abs. 1 VwVG e contrario). Die Abweisung des Sistierungsantrages war, da der Grund, den die Beschwerdeführerin für die Sistierung genannt hatte, mittlerweile weggefallen war, nicht besonders aufwändig, so dass diesbezüglich auf die Auferlegung von Verfahrenskosten verzichtet werden kann. Den Antrag 2 hat die Beschwerdeführerin zeitnah selbst als gegenstandslos geworden erklärt, weshalb auch diesbezüglich auf die Auferlegung von Verfahrenskosten zu verzichten ist (vgl. Art. 6 des Reglements vom 21. Februar 2008 über die Kosten und Entschädigungen vor dem Bundesverwaltungsgericht [VGKE, SR 173.320.2]). Der einbezahlte Kostenvorschuss ist der Beschwerdeführerin nach Eintritt der Rechtskraft dieses Urteils zurückzuerstatten. Der Vorinstanz können als Bundesbehörde ohnehin keine Verfahrenskosten auferlegt werden (Art. 63 Abs. 2 VwVG).</w:t>
      </w:r>
    </w:p>
    <w:p>
      <w:r>
        <w:rPr>
          <w:b/>
        </w:rPr>
        <w:t>E. 4.2</w:t>
      </w:r>
    </w:p>
    <w:p>
      <w:r>
        <w:t>Die obsiegende Beschwerdeführerin hat Anspruch auf eine Parteientschädigung für die ihr erwachsenen notwendigen und verhältnismässig hohen Kosten ihrer Vertretung (Art. 64 Abs. 1 VwVG; Art. 7 ff. VGKE). Dabei ist zu berücksichtigen, dass der Sistierungsantrag der Beschwerdeführerin abgewiesen wurde und sie ihren Antrag 2 zurückgezogen hat. Sie obsiegt daher nur in Bezug auf ihren Antrag 3 (Verjährung der Steuerperiode 2012 sowie Neuberechnung der Verzugszinsen) und zusätzlich in Bezug auf die von Amtes wegen festzustellende Verjährung der Steuerperiode 2013. Dies macht betragsmässig rund 25 % des Streitwerts aus. Die Parteientschädigung ist im vorliegenden Verfahren, mangels Kostennote, praxisgemäss auf Fr. 1'125.-- festzusetzen. Davon sind Fr. 900.-- von der Vorinstanz zu bezahlen. Die restlichen Fr. 225.-- sind - nach Eintritt der Rechtskraft des vorliegenden Urteils - aufgrund der Verfahrensdauer aus der Kasse des Bundesverwaltungsgerichts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