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A-251/2008 vom 15. April 2008</w:t>
      </w:r>
    </w:p>
    <w:p>
      <w:r>
        <w:t>Bundesverwaltungsgericht, 2008-04-15, DE</w:t>
      </w:r>
    </w:p>
    <w:p>
      <w:r>
        <w:rPr>
          <w:b/>
        </w:rPr>
        <w:t xml:space="preserve">Quelle: </w:t>
      </w:r>
      <w:r>
        <w:t>https://mcp.opencaselaw.ch/entscheid/bvger_A-251_2008</w:t>
      </w:r>
    </w:p>
    <w:p>
      <w:r>
        <w:t>FR: TAF A-251/2008 du 15 avril 2008</w:t>
      </w:r>
    </w:p>
    <w:p>
      <w:r>
        <w:t>IT: TAF A-251/2008 del 15 aprile 2008</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21 und 23 des Elektrizitätsgesetzes vom 24. Juni 1902 [EleG, SR 734.0] sowie Art. 31 des Verwaltungsgerichtsgesetzes vom 17. Juni 2005 [VGG, SR 173.32]). Die Beschwerdelegitimation (Art. 48 des Bundesgesetzes vom 20. Dezember 1968 über das Verwaltungsverfahren [VwVG, SR 172.021]) sowie die übrigen Sachurteilsvoraussetzungen (Art. 52 und 63 Abs. 4 VwVG) sind erfüllt, so dass auf die Beschwerde einzutreten ist.</w:t>
      </w:r>
    </w:p>
    <w:p>
      <w:r>
        <w:rPr>
          <w:b/>
        </w:rPr>
        <w:t>E. 2</w:t>
      </w:r>
    </w:p>
    <w:p>
      <w:r>
        <w:t>Gestütz auf Art. 5 Abs. 1 der Verordnung vom 7. November 2001 über elektrische Niederspannungsinstallationen (NIV, SR 734.27) hat der Eigentümer dafür zu sorgen, dass die elektrischen Installationen ständig den gesetzlichen Anforderungen entsprechen. Er muss auf Verlangen den entsprechenden Sicherheitsnachweis erbringen (Art. 5 Abs. 1 NIV). Die Durchführung von technischen Kontrollen und die Ausstellung der entsprechenden Sicherheitsnachweise erfolgt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3 NIV).</w:t>
      </w:r>
    </w:p>
    <w:p>
      <w:r>
        <w:rPr>
          <w:b/>
        </w:rPr>
        <w:t>E. 3</w:t>
      </w:r>
    </w:p>
    <w:p>
      <w:r>
        <w:t>Vorliegend geht es um einen periodischen Sicherheitsnachweis für die elektrischen Installationen der im Eigentum des Beschwerdeführers stehenden Liegenschaft. Diesen Beleg forderte die BKW als zuständige Netzbetreiberin beim Beschwerdeführer erstmals mit Schreiben vom 20. Oktober 2004 ein. Da der Beschwerdeführer dieser Aufforderung nicht nachkam, erfolgten seitens der BWK die drei Mahnungen vom 25. Juli 2005, vom 2. Dezember 2005 und vom 15. April 2006. Weil der Beschwerdeführer auf keine dieser Anordnungen reagierte, übergab die Netzbetreiberin der Vorinstanz am 8. September 2006 die Unterlagen. Diese setzte dem Beschwerdeführer am 28. November 2006 eine Frist bis am 28. Februar 2007 zur Einreichung des Sicherheitsnachweises und drohte den Erlass einer gebührenpflichtigen Verfügung an. Weil der Beschwerdeführer den Sicherheitsnachweis immer noch nicht eingereicht hatte, erliess die Vorinstanz am 29. November 2007 die angefochtene Verfügung.</w:t>
      </w:r>
    </w:p>
    <w:p>
      <w:r>
        <w:rPr>
          <w:b/>
        </w:rPr>
        <w:t>E. 4</w:t>
      </w:r>
    </w:p>
    <w:p>
      <w:r>
        <w:t>Der Beschwerdeführer stellt die Kontrollpflichten und die ihm als Eigentümer obliegende Pflicht, für die fristgerechte Einreichung des Sicherheitsnachweises zu sorgen, nicht grundsätzlich in Frage. Er beruft sich jedoch auf seine spezielle Situation, welcher Rechnung zu tragen sei. Er habe sich in einer Notlage befunden, da er gesundheitlich angeschlagen, psychisch und finanziell ausgebrannt, völlig überfordert und nicht mehr in der Lage gewesen sei, seinen Verpflichtungen nachzukommen, sowie trotz harter Arbeit und bescheidenen Verhältnissen nach wie vor hohe Schulden habe. Vom Staat, der ihn in diese Schulden getrieben habe, werde er trotzdem immer wieder bedrängt.</w:t>
      </w:r>
    </w:p>
    <w:p>
      <w:r>
        <w:rPr>
          <w:b/>
        </w:rPr>
        <w:t>E. 4.1</w:t>
      </w:r>
    </w:p>
    <w:p>
      <w:r>
        <w:t>Dass sich der Beschwerdeführer in einer aussergewöhnlichen Situation befunden hat bzw. in einer schwierigen Lage ist, wird vom Bundesverwaltungsgericht nicht in Zweifel gezogen. Bei allem Verständnis für die persönliche Situation des Beschwerdeführers ist aber vorliegend massgebend, dass die Vorinstanz bzw. die Netzbetreiberin bei der Fristansetzung den ihnen zustehenden Handlungsspielraum gemäss Art. 36 NIV bereits ausgeschöpft haben. Selbst in Kenntnis der besonderen Lage des Beschwerdeführers hätten sie somit den Umständen nicht weitergehend Rechnung tragen können, ohne gegen die rechtlichen Grundlagen im Kontrollbereich elektrischer Installationen und gegen den Grundsatz der Gleichbehandlung aller Eigentümer von Installationen zu verstossen. Zudem ist entscheidend, dass der Vor-instanz durch das Nichthandeln des Beschwerdeführers und bei der Behandlung der ganzen Angelegenheit ein Aufwand entstanden ist. Gemäss Art. 41 NIV ist die Vorinstanz denn auch ermächtigt, für Verfügungen im Sinn der NIV Gebühren nach Art. 9 und 10 der Verordnung vom 7. Dezember 1992 über das Eidgenössische Starkstrominspektorat (Vo EStI, SR 734.24) zu erheben. Danach betragen die Gebühren für eine Verfügung höchstens Fr. 1'500.-- (Art. 9 Abs. 1 Vo EStI) und richten sich nach dem entstandenen Aufwand (Art. 9 Abs. 2 Vo EStI). Der Vorinstanz kommt innerhalb dieses Gebührenrahmens ein erheblicher Ermessensspielraum zu. Die hier verlangte Gebühr von Fr. 400.-- bewegt sich allerdings im unteren Bereich der von der Verordnung vorgegebenen Bandbreite. Die Vorinstanz hatte bei der Bearbeitung der Angelegenheit einigen Aufwand zu betreiben: So war das von der Netzbetreiberin überwiesene Dossier zu prüfen, eine Nachfrist anzusetzen, auf telefonisches Gesuch hin die Frist zu verlängern, die Einhaltung der Frist zu kontrollieren und schliesslich eine anfechtbare Verfügung auszuarbeiten. In Anbetracht dieses Aufwands erscheinen Fr. 400.-- als angemessen. Die Erhebung der Gebühr ist daher weder im Grundsatz noch in der Höhe zu beanstanden (vgl. Urteil des Bundesverwaltungsgerichts A-3116/2007 E. 6 vom 18. November 2007). Schliesslich besteht die Pflicht zur Durchführung der periodischen Kontrolle und zur Einreichung des Sicherheitsnachweises unabhängig davon, ob tatsächlich jemals eine konkrete Gefahr für Personen oder Sachen bestanden hat. Vielmehr ist es gerade Sinn und Zweck dieser Kontrolle, dass eine solche Gefahr gar nie realisiert wird.</w:t>
      </w:r>
    </w:p>
    <w:p>
      <w:r>
        <w:rPr>
          <w:b/>
        </w:rPr>
        <w:t>E. 4.2</w:t>
      </w:r>
    </w:p>
    <w:p>
      <w:r>
        <w:t>Die Vorinstanz hat dem Beschwerdeführer somit zu Recht eine Frist zur Einreichung des Sicherheitsnachweises gesetzt, diese Aufforderung mit der Androhung einer Ordnungsbusse bis Fr. 5'000.-- verbunden und für den Erlass der angefochtenen Verfügung eine Gebühr von Fr. 400.-- erhoben.</w:t>
      </w:r>
    </w:p>
    <w:p>
      <w:r>
        <w:rPr>
          <w:b/>
        </w:rPr>
        <w:t>E. 5</w:t>
      </w:r>
    </w:p>
    <w:p>
      <w:r>
        <w:t>Gestützt auf vorstehende Erwägungen erweist sich die Beschwerde als unbegründet und ist abzuweisen. Weil der Beschwerde aufschiebende Wirkung zukommt (Art. 55 Abs. 1 VwVG), gilt die Anordnung der Vorinstanz für die Dauer des Beschwerdeverfahrens nicht. Als Folge davon ist die angesetzte Frist von drei Monaten neu und ab Rechtskraft des vorliegenden Urteils festzusetzen.</w:t>
      </w:r>
    </w:p>
    <w:p>
      <w:r>
        <w:rPr>
          <w:b/>
        </w:rPr>
        <w:t>E. 6</w:t>
      </w:r>
    </w:p>
    <w:p>
      <w:r>
        <w:t>Im Ergebnis gilt vorliegend der Beschwerdeführer als unterliegend, weshalb er grundsätzlich die Verfahrenskosten zu tragen hat (Art. 63 Abs. 1 VwVG). In Würdigung der persönlichen Verhältnisse des Beschwerdeführers wird aber davon abgesehen, ihm Verfahrenskosten aufzuerlegen (Art. 6 Bst. b des Reglements vom 11. Dezember 2006 über die Kosten und Entschädigungen vor dem Bundesverwaltungsgericht [VGKE, SR 173.320.2]). Der geleistete Kostenvorschuss von Fr. 500.-- ist dem Beschwerdeführer zurückzuerstatten. Angesichts seines Unterliegens hat der Beschwerdeführer von vornherein keinen Anspruch auf eine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