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A-2519/2019 vom 2. Juni 2021</w:t>
      </w:r>
    </w:p>
    <w:p>
      <w:r>
        <w:t>Bundesverwaltungsgericht, 2021-06-02, FR</w:t>
      </w:r>
    </w:p>
    <w:p>
      <w:r>
        <w:rPr>
          <w:b/>
        </w:rPr>
        <w:t xml:space="preserve">Quelle: </w:t>
      </w:r>
      <w:r>
        <w:t>https://mcp.opencaselaw.ch/entscheid/bvger_A-2519_2019</w:t>
      </w:r>
    </w:p>
    <w:p>
      <w:r>
        <w:t>FR: TAF A-2519/2019 du 2 juin 2021</w:t>
      </w:r>
    </w:p>
    <w:p>
      <w:r>
        <w:t>IT: TAF A-2519/2019 del 2 giugno 2021</w:t>
      </w:r>
    </w:p>
    <w:p>
      <w:pPr>
        <w:pStyle w:val="Heading2"/>
      </w:pPr>
      <w:r>
        <w:t>Regeste</w:t>
      </w:r>
    </w:p>
    <w:p>
      <w:r>
        <w:t>Assistance administrative</w:t>
      </w:r>
    </w:p>
    <w:p>
      <w:pPr>
        <w:pStyle w:val="Heading2"/>
      </w:pPr>
      <w:r>
        <w:t>Erwägungen</w:t>
      </w:r>
    </w:p>
    <w:p>
      <w:r>
        <w:rPr>
          <w:b/>
        </w:rPr>
        <w:t>E. 4.1.1</w:t>
      </w:r>
    </w:p>
    <w:p>
      <w:r>
        <w:t>L'assistance administrative avec l'Espagne est actuellement régie par l'art. 25bis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arrêts du TAF A-2523/2015 du 9 avril 2018 consid. 4.1, A-6589/2016 du 6 mars 2018 consid. 4.1, A-3791/2017 du 5 janvier 2018 consid. 3 et A-4992/2016 du 29 novembre 2016 consid. 2).</w:t>
      </w:r>
    </w:p>
    <w:p>
      <w:r>
        <w:rPr>
          <w:b/>
        </w:rPr>
        <w:t>E. 4.1.2</w:t>
      </w:r>
    </w:p>
    <w:p>
      <w:r>
        <w:t>Les impôts auxquels s'applique la Convention sont : l'impôt sur le revenu et sur la fortune. En ce qui concerne l'Espagne, cela comprend, entre autres, (i) l'impôt sur le revenu des personnes physiques, (ii) l'impôt sur les sociétés, (iii) l'impôt sur le revenu des non-résidents, (iv) l'impôt sur la fortune, et (v) les impôts locaux sur le revenu et sur la fortune, (art. 2 al. 1 et 3 CDI CH-ES). Les modifications du 27 juillet 2011 s'appliquent aux demandes d'assistance qui portent sur des renseignements concernant l'année 2010 et les années suivantes (art. 13 ch. 2 let. [iii] du Protocole du 27 juillet 2011; arrêts du TAF A-1342/2019 du 2 septembre 2020; A-2523/2015 du 9 avril 2018 consid. 4.1; A-6589/2016 du 6 mars 2018 consid. 4.1; A-3791/2017 du 5 janvier 2018 consid. 3), de sorte que la présente affaire, qui porte sur les périodes fiscales du 1er janvier 2016 au 31 décembre 2017 est soumise aux règles en vigueur conformément à ces dernières modifications.</w:t>
      </w:r>
    </w:p>
    <w:p>
      <w:r>
        <w:rPr>
          <w:b/>
        </w:rPr>
        <w:t>E. 4.2.1</w:t>
      </w:r>
    </w:p>
    <w:p>
      <w:r>
        <w:t>Sur le plan formel, le par. IV ch. 2 du Protocole CDI CH-ES prévoit que la demande d'assistance doit indiquer : a. l'identité de la personne faisant l'objet d'un contrôle ou d'une enquête; b. la période visée par la demande; c. une description des renseignements demandés y compris de leur nature et de la forme selon laquelle l'Etat requérant désire recevoir les renseignements de l'Etat requis; d. l'objectif fiscal qui fonde la demande; e. dans la mesure où ils sont connus, les nom et adresse de toute personne dont il y a lieu de penser qu'elle est en possession des renseignements demandés.</w:t>
      </w:r>
    </w:p>
    <w:p>
      <w:r>
        <w:rPr>
          <w:b/>
        </w:rPr>
        <w:t>E. 4.2.2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A-6366/2017 du 24 août 2018 consid. 2.2).</w:t>
      </w:r>
    </w:p>
    <w:p>
      <w:r>
        <w:rPr>
          <w:b/>
        </w:rPr>
        <w:t>E. 4.3.1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arrêts du TAF A-4977/2016 du 13 février 2018 consid. 3.6.1; A-2321/2017 du 20 décembre 2017 consid. 3.6.1 et les références citées). La condition de la pertinence vraisemblable des renseignements requis - clé de voûte de l'échange de renseignements (cf. arrêts du TF 2C_695/2017 du 29 octobre 2018 consid. 2.6; 2C_1162/2016 du 4 octobre 2017 consid. 6.3; arrêt du TAF A-4819/2016 du 4 avril 2018 consid. 2.3.1) - a pour but d'assurer un échange de renseignements le plus large possible. Dans ce contexte, la demande ne doit pas être déposée uniquement à des fins de recherche de preuves au hasard (interdiction de la pêche aux renseignements [« fishing expedition »] ou porter sur des renseignements manifestement impropres à faire progresser l'enquête fiscale ou sans rapport avec elle (ATF 144 II 206 consid. 4.2;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4.3.2</w:t>
      </w:r>
    </w:p>
    <w:p>
      <w:r>
        <w:t>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consid. 4.4,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 A-5066/2016 du 17 mai 2018 consid. 2.3.2; A-4434/2016 du 18 janvier 2018 consid. 3.6.2).</w:t>
      </w:r>
    </w:p>
    <w:p>
      <w:r>
        <w:rPr>
          <w:b/>
        </w:rPr>
        <w:t>E. 4.3.3</w:t>
      </w:r>
    </w:p>
    <w:p>
      <w:r>
        <w:t>L'exigence de la pertinence vraisemblable ne représente donc pas un obstacle très important à la demande d'assistance administrative (ATF 143 II 185 consid. 3.3.2,142 II 161 consid. 2.1.1,139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4.3.4</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et A-4025/2016 du 2 mai 2017 consid. 3.4). La transmission d'informations est ainsi en principe également possible à condition de répondre à l'exigence de la pertinence vraisemblable (cf. ATF 144 II 29 consid. 4.2.3 et 142 II 161 consid. 4.6.1; pour des développements, cf. arrêt du TAF A-4819/2016 du 4 avril 2018 consid. 3).</w:t>
      </w:r>
    </w:p>
    <w:p>
      <w:r>
        <w:rPr>
          <w:b/>
        </w:rPr>
        <w:t>E. 4.3.5</w:t>
      </w:r>
    </w:p>
    <w:p>
      <w:r>
        <w:t>S'agissant des tiers non impliqués, la transmission de leurs noms n'est admissible, en vertu de l'art. 4 al. 3 LAAF, que si cette information est vraisemblablement pertinente. En d'autres termes, cela signifie que la disposition légale précitée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ou rendrait vide de sens la demande d'assistance administrative (cf. ATF 146 I 172 consid. 7.1.3,144 II 29 consid. 4.2.3 et les références citées; arrêts du TF 2C_616/2018 du 9 juillet 2019 consid. 3.1, 2C_387/2016 du 5 mars 2018 consid. 5.1). Cela étant, en cas de transmission, les tiers dont les noms apparaissent sont protégés; à la clôture de la procédure, l'autorité requise doit en effet rappeler à l'autorité requérante les restrictions à l'utilisation des renseignements transmis et l'obligation de maintenir le secret (cf. infra, consid. 4.5; art. 25bis par. 2 CDI CH-ESP; art. 20 al. 2 LAAF; cf. ATF 146 I 172 consid. 7.1.3,142 II 161 consid. 4.6.1; arrêt 2C_537/2019 du 13 juillet 2020 consid. 3.4 [destiné à la publication]).</w:t>
      </w:r>
    </w:p>
    <w:p>
      <w:r>
        <w:rPr>
          <w:b/>
        </w:rPr>
        <w:t>E. 4.4.1</w:t>
      </w:r>
    </w:p>
    <w:p>
      <w:r>
        <w:t>Le principe de la bonne foi s'applique (cf. art. 7 al. 1 let. c LAAF) en tant que principe d'interprétation et d'exécution des traités dans le domaine de l'échange de renseignements des CDI (ATF 143 II 202 consid. 8.3; arrêts du TAF A-2321/2017 du 20 décembre 2017 consid. 3.4.1;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w:t>
      </w:r>
    </w:p>
    <w:p>
      <w:r>
        <w:rPr>
          <w:b/>
        </w:rPr>
        <w:t>E. 4.4.2</w:t>
      </w:r>
    </w:p>
    <w:p>
      <w:r>
        <w:t>La bonne foi d'un Etat est toujours présumée dans les relations internationales, ce qui implique, dans le présent contexte, que l'Etat requis ne saurait en principe mettre en doute les allégations de l'Etat requérant (ATF 142 II 161 consid. 2.1.3;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(ATF 143 II 202 consid. 8.7.1 avec les réf. citées; arrêt du TAF A-6266/2017 du 24 août 2018 consid. 2.4.2).</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(cf. art. 25bis par. 2 CDI CH-ES; cf. arrêt du TF 2C_537/2019 du 13 juillet 2020 consid. 3.7 [destiné à la publication]; arrêts du 2C_537/2019;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arrêts du TF 2C_537/2020 du 13 juillet 2020 consid. 3.4 [destiné à la publication]). C'est l'expression de la dimension personnelle du principe de spécialité (arrêts du TF 2C_537/2019 du 13 juillet 2020 consid. 3.5 [destiné à la publication];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3.7 [destiné à la publication]; 2C_545/2019 du 13 juillet 2020 consid. 4.7). La Suisse peut à cet égard considérer que l'Etat requérant, avec lequel elle est liée par un accord d'assistance administrative, respectera le principe de spécialité (cf. parmi d'autres, arrêts du TAF A-769/2017 du 23 avril 2019 consid. 2.6; A-5066/2017 du 17 mai 2018 consid. 2.6).</w:t>
      </w:r>
    </w:p>
    <w:p>
      <w:r>
        <w:rPr>
          <w:b/>
        </w:rPr>
        <w:t>E. 4.6.1</w:t>
      </w:r>
    </w:p>
    <w:p>
      <w:r>
        <w:t>L'Etat requérant doit respecter le principe de subsidiarité (arrêts du TAF A-4434/2016 du 18 janvier 2018 consid. 3.5 et A-2321/2017 du 20 décembre 2017 consid. 3.5).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arrêt du TF 2C_904/2015 du 8 décembre 2016 consid. 7.2; arrêt du TAF A-6266/2017 du 24 août 2018 consid. 2.7).</w:t>
      </w:r>
    </w:p>
    <w:p>
      <w:r>
        <w:rPr>
          <w:b/>
        </w:rPr>
        <w:t>E. 4.6.2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(cf. consid. 4.3 supra; arrêt du TF 2C_1162/2016 du 4 octobre 2017 consid. 6.3]).</w:t>
      </w:r>
    </w:p>
    <w:p>
      <w:r>
        <w:rPr>
          <w:b/>
        </w:rPr>
        <w:t>E. 4.6.3</w:t>
      </w:r>
    </w:p>
    <w:p>
      <w:r>
        <w:t>Il n'y a pas lieu d'exiger de l'autorité requérante qu'elle démontre avoir interpellé en vain le contribuable visé avant de demander l'assistance à la Suisse (cf. arrêts du TAF A-1146/2019 du 6 septembre 2019 consid. 5.2; A-5647/2017 du 2 août 2018 consid. 4.3.3 et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(cf.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arrêts du TAF A-5695/2018 du 22 avril 2020 consid. 4.2.2;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4.7.1</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consid. 4.3 supra) (ATF 142 II 161 consid. 4.5.2; arrêts du TAF A-6266/2017 du 24 août 2018 consid. 2.8, A-5066/2016 du 17 mai 2018 consid. 2.8 et A-4434/2016 du 18 janvier 2018 consid. 3.8.1 avec les réf. citées).</w:t>
      </w:r>
    </w:p>
    <w:p>
      <w:r>
        <w:rPr>
          <w:b/>
        </w:rPr>
        <w:t>E. 4.7.2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A-6385/2012 du 6 juin 2013 consid. 2.2.1);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arrêts du TAF A-6306/2015 du 15 mai 2017 consid. 4.2.2.5; A-4157/2016 du 15 mars 2017 consid. 3.5.4; A-7143/2014 du 15 août 2016 consid. 11; A-688/2015 du 22 février 2016 consid. 9).</w:t>
      </w:r>
    </w:p>
    <w:p>
      <w:r>
        <w:rPr>
          <w:b/>
        </w:rPr>
        <w:t>E. 5.1</w:t>
      </w:r>
    </w:p>
    <w:p>
      <w:r>
        <w:t>Sur le plan formel, le Tribunal de céans constate que la demande d'assistance administrative contient la liste des informations nécessaires à sa recevabilité, conformément au ch. IV ch. 2 du Protocole CDI CH-ES, de telle sorte que les conditions formelles de l'assistance sont satisfaites et que la pertinence vraisemblable des informations demandées est présumée respectée (cf. consid. 4.2 supra).</w:t>
      </w:r>
    </w:p>
    <w:p>
      <w:r>
        <w:rPr>
          <w:b/>
        </w:rPr>
        <w:t>E. 5.2.1.1</w:t>
      </w:r>
    </w:p>
    <w:p>
      <w:r>
        <w:t>Quant au fond et dans un premier grief, la recourante fait valoir que l'autorité inférieure n'aurait pas dû entrer en matière sur la demande d'assistance du (...) 2018 au motif que ladite demande violerait l'interdiction des fishing expeditions respectivement du principe de proportionnalité et que les informations à transmettre ne seraient pas vraisemblablement pertinentes.</w:t>
      </w:r>
    </w:p>
    <w:p>
      <w:r>
        <w:rPr>
          <w:b/>
        </w:rPr>
        <w:t>E. 5.2.1.2</w:t>
      </w:r>
    </w:p>
    <w:p>
      <w:r>
        <w:t>A cet égard, le Tribunal rappelle d'abord que les autorités espagnoles ont demandé la transmission d'informations afin de pouvoir vérifier le revenu et la fortune au niveau mondial du bénéficiaire de la carte de crédit concernée en vue d'effectuer une correcte taxation en Espagne de son titulaire/bénéficiaire qu'elles considèrent comme un résident espagnol. Pour ce faire, elles ont spécifiquement demandé de pouvoir connaître l'identité du titulaire du compte ayant alimenté la carte de crédit. Or, le Tribunal constate qu'il existe un rapport entre l'état de fait décrit dans la demande et les documents requis. Ensuite, il observe que les informations demandées sont propres à permettre l'imposition en Espagne de la personne concernée puisqu'elles contribuent à clarifier la question de sa résidence fiscale. En effet et de surcroît, l'autorité chargée de la taxation doit pouvoir déterminer l'origine des sommes qui ont été retirées avec la carte de crédit et les informations y relatives doivent ainsi être considérées comme vraisemblablement pertinentes. La transmission de ces renseignements est donc conforme au principe de proportionnalité. Le grief de la recourante n'est ainsi pas fondé.</w:t>
      </w:r>
    </w:p>
    <w:p>
      <w:r>
        <w:rPr>
          <w:b/>
        </w:rPr>
        <w:t>E. 5.2.2.1</w:t>
      </w:r>
    </w:p>
    <w:p>
      <w:r>
        <w:t>La recourante allègue ensuite que la transmission des informations la concernant violerait la protection des données confidentielles de tiers non impliqués. Selon elle, les informations transmises ne contribuent aucunement à élucider la situation fiscale du détenteur de la carte de crédit concernée et sont susceptibles de soulever d'inutiles questions à l'égard de ses organes pour ensuite engager leur responsabilité impliquant des sanctions fiscales, voire pénales. Elle soutient, en confirmant qu'elle est une société offshore transparente, que la simple transmission de son nom violerait le principe de proportionnalité à l'égard de ses administratrices dès lors que cette transmission pourrait conduire les autorités compétentes espagnoles à mener des investigations auprès d'elle et, de ce fait, auprès de ses administratrices. Par conséquent, en transmettant son nom, l'AFC transmettrait indirectement des informations concernant ces dernières, lesquelles seraient ainsi des tiers non concernés au sens de l'art. 4 al. 3 de LAAF. Elle estime en outre qu'en informant sur sa qualité de signataire autorisé de la relation bancaire (...), les données relatives à B._______ vont également être transmises alors que l'AFC a explicitement renoncé à les transmettre aux autorités espagnoles. Finalement, elle estime qu'en tant que société offshore transparente, son identité n'est pas pertinente pour établir « le domicile fiscal du titulaire du compte bancaire visé » et de ce fait également, les renseignements fournis ne sont pas vraisemblablement pertinents.</w:t>
      </w:r>
    </w:p>
    <w:p>
      <w:r>
        <w:rPr>
          <w:b/>
        </w:rPr>
        <w:t>E. 5.2.2.2</w:t>
      </w:r>
    </w:p>
    <w:p>
      <w:r>
        <w:t>A ce propos, le Tribunal exposera, tel que cela a été relevé ci-dessus (cf. consid. 4.3.4 et 4.3.5 infra), que si des tiers peuvent également être formellement concernés par une demande d'assistance, ils restent néanmoins protégés lorsque les renseignements sont fournis. D'une part, comme le relève l'AFC dans sa prise de position du 12 juillet 2019, aucune information relative aux administratrices de la recourante ne sera transmise aux autorités espagnoles. Enfin, le Tribunal constate que dans le dispositif de sa décision du 24 avril 2020, l'autorité inférieure a expressément décidé d'informer l'autorité fiscale espagnole que les informations transmises étaient soumises dans l'Etat requérant aux restrictions d'utilisation et obligations de confidentialité prévues par la Convention à l'art. 25bis par. 2 CDI CH-ES (cf. dispositif de la décision querellée, ch. 3). Compte tenu de la jurisprudence du Tribunal fédéral concernant le principe de spécialité (cf. consid. 4.5 supra), l'AFC devra également préciser que les informations transmises dans le cadre de l'assistance administrative ne peuvent être utilisées dans une procédure qu'à l'encontre du détenteur de la carte de crédit concernée.</w:t>
      </w:r>
    </w:p>
    <w:p>
      <w:r>
        <w:rPr>
          <w:b/>
        </w:rPr>
        <w:t>E. 5.2.2.3</w:t>
      </w:r>
    </w:p>
    <w:p>
      <w:r>
        <w:t>Force est ainsi ici de constater pour la Cour de céans que la recourante ne met pas en évidence, ni même n'étaye, le fait prétendu que les informations dont la transmission est envisagée, dans le présent cas, pourraient être utilisées en violation du principe de spécialité. Il n'y a donc pas lieu de retenir que celles-ci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de la recourante quant à une violation du principe de spécialité dans son cas demeurent au stade de la conjecture toute générale. Le grief de la recourante est donc mal fondé et doit être rejeté.</w:t>
      </w:r>
    </w:p>
    <w:p>
      <w:r>
        <w:rPr>
          <w:b/>
        </w:rPr>
        <w:t>E. 6</w:t>
      </w:r>
    </w:p>
    <w:p>
      <w:r>
        <w:t>Au vu de ce qui précède, le Tribunal constate que la décision litigieuse satisfait aux exigences de l'assistance administrative en matière fiscale. Dès lors, le recours doit être rejeté.</w:t>
      </w:r>
    </w:p>
    <w:p>
      <w:r>
        <w:rPr>
          <w:b/>
        </w:rPr>
        <w:t>E. 7</w:t>
      </w:r>
    </w:p>
    <w:p>
      <w:r>
        <w:t>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déjà versée. Le solde de 2'000 francs doit être versé sur le compte du Tribunal dans les 30 jours dès l'entrée en force du présent arrêt. Le bulletin de versement sera envoyé par courrier séparé. Vu l'issue de la cause, il n'y ainsi pas lieu d'allouer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