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A-2502/2009 vom 24. Mai 2011</w:t>
      </w:r>
    </w:p>
    <w:p>
      <w:r>
        <w:t>Bundesverwaltungsgericht, 2011-05-24, DE</w:t>
      </w:r>
    </w:p>
    <w:p>
      <w:r>
        <w:rPr>
          <w:b/>
        </w:rPr>
        <w:t xml:space="preserve">Quelle: </w:t>
      </w:r>
      <w:r>
        <w:t>https://mcp.opencaselaw.ch/entscheid/bvger_A-2502_2009</w:t>
      </w:r>
    </w:p>
    <w:p>
      <w:r>
        <w:t>FR: TAF A-2502/2009 du 24 mai 2011</w:t>
      </w:r>
    </w:p>
    <w:p>
      <w:r>
        <w:t>IT: TAF A-2502/2009 del 24 maggio 2011</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Beschwerden zuständig (vgl. auch Art. 23 StromVG).</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Beschwerdeführerinnen haben als beteiligte Parteien am vorinstanzlichen Verfahren teilgenommen und sind als Be-treiberinnen von Kraftwerken mit einer elektrischen Leistung von mindestens 50 MW (vgl. Art. 31b Abs. 2 StromVV und Anhang 2 der angefochtenen Verfügung) von der Verfügung besonders betroffen. Sie sind damit zur Beschwerde legitimiert.</w:t>
      </w:r>
    </w:p>
    <w:p>
      <w:r>
        <w:rPr>
          <w:b/>
        </w:rPr>
        <w:t>E. 3</w:t>
      </w:r>
    </w:p>
    <w:p>
      <w:r>
        <w:t>Auf die im Übrigen form- und fristgerecht eingereichten Beschwerden (Art. 50 und Art. 52 VwVG) ist einzutreten. Anzufügen ist an dieser Stelle, dass die Beschwerdeführerinnen in ihren Beschwerden vom 20. April 2009 lediglich die Ziff. 2 und 3 des Dispositivs der vorinstanzlichen Verfügung vom 6. März 2009 angefochten haben. Gegenstand des vorliegenden Verfahrens ist somit einzig die Überprüfung des Tarifs 2009 für allgemeine SDL. Nicht Streitgegenstand bilden dagegen die Tarife 2009 für die Netznutzung der Netzebene 1 (vgl. André Moser/Michael Beusch/Lorenz Kneubühler, Prozessieren vor dem Bundesverwaltungsgericht, Basel 2008, Rz. 2.8).</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5.1</w:t>
      </w:r>
    </w:p>
    <w:p>
      <w:r>
        <w:t>Die Beschwerdeführerinnen bringen in materieller Hinsicht vor, Art. 31b Abs. 2 StromVV sei willkürlich und ohne entsprechende bzw. ausreichende gesetzliche Grundlage kurzfristig vom Bundesrat festgesetzt worden, weshalb Dispositiv-Ziff. 3 der Verfügung der Vorinstanz aufzuheben sei. Diese Verordnungsbestimmung, wonach Kraftwerke mit einer elektrischen Leistung von mehr als 50 MW mit den Kosten für SDL belastet werden sollten, nehme eine Diskriminierung unter den Kraftwerken bewusst in Kauf. Die undifferenzierte Pauschallösung führe zu erheblichen Marktverzerrungen und verhindere die Transparenz. Das System sei insbesondere nicht verursachergerecht.</w:t>
      </w:r>
    </w:p>
    <w:p>
      <w:r>
        <w:rPr>
          <w:b/>
        </w:rPr>
        <w:t>E. 5.2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5.3</w:t>
      </w:r>
    </w:p>
    <w:p>
      <w:r>
        <w:t>Nach dem Grundsatz der Gesetzmässigkeit bedarf jedes staatliche Handeln einer gesetzlichen Grundlage (Art. 5 Abs. 1 der Bundesverfassung der Schweizerischen Eidgenossenschaft vom 18. April 1999 [BV, SR 101]). Werden Rechtssetzungskompetenzen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Ehrenzeller/Mastronardi/Schweizer/ Vallender [Hrsg.], 2. Aufl., Zürich 2008, Rz. 34 zu Art. 164; Thomas Sägesser, in: Kommentar BV, Rz. 17 zu Art. 182).</w:t>
      </w:r>
    </w:p>
    <w:p>
      <w:r>
        <w:rPr>
          <w:b/>
        </w:rPr>
        <w:t>E. 5.3.1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2010, S. 280 ff.).</w:t>
      </w:r>
    </w:p>
    <w:p>
      <w:r>
        <w:rPr>
          <w:b/>
        </w:rPr>
        <w:t>E. 5.3.2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5.4.1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 Die Netznutzungstarife haben einfache Strukturen aufzuweisen und sollen die von den Endverbrauchern verursachten Kosten widerspiegeln (Bst. a). - Die Netznutzungstarife müssen unabhängig von der Distanz zwischen Ein- und Ausspeisepunkt ermittelt werden (Bst. b). - Pro Spannungsebene und Kundengruppe im Netz des Netzbetreibers ist der Netznutzungstarif einheitlich zu gestalten (Bst. c). - Die Einrechnung individuell in Rechnung gestellter Kosten ist nicht zulässig (Bst. d). -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5.4.2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zur Änderung des Elektrizitätsgesetzes und zum Stromversorgungsgesetz vom 3. Dezember 2004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5.4.3</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Für die Jahre 2009 bis 2013 wurde bezüglich der Überwälzung der allgemeinen SDL die Übergangsbestimmung von Art. 31b StromVV geschaffen.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6</w:t>
      </w:r>
    </w:p>
    <w:p>
      <w:r>
        <w:t>Die Beschwerdeführerinnen bestreiten, dass ihnen gestützt auf Art. 31b Abs. 2 StromVV Kosten für allgemeine SDL angelastet werden können. Das StromVG (bzw. dessen Art. 14) biete hierfür keine genügende gesetzliche Grundlage. Die diesbezüglich erforderlichen Abklärungen, wer in Bezug auf das Netznutzungsentgelt Zahlungspflichtiger ist, was unter den individuell in Rechnung gestellten Kosten gemäss Art. 14 Abs. 3 Bst. d StromVG zu verstehen ist und was die Gesetzesdelegation gemäss Art. 15 Abs. 4 Bst. b StromVG umfasst, hat das Bundesverwaltungsgericht bereits angestellt: In seinem 1. Piloturteil (A-2607/2009) zu den Strompreisen 2009 vom 8. Juli 2010, welches rechtskräftig geworden und zur amtlichen Publikation bestimmt ist, hat es die vorstehend aufgeworfenen Rechtsfragen als materieller Hauptteil in den E. 8 bis 12 schon beantwortet. Es liegen hier keine zusätzlichen Gesichtspunkte vor, die noch einer separaten Prüfung bedürften. Nachfolgend werden der Vollständigkeit halber und mit Blick auf den Kostenteil und das Dispositiv einzig die auf die vorliegende Situation angepassten Schlussfolgerungen des Bundesverwaltungsgerichts, wie sie im erwähnten 1. Piloturteil gezogen worden sind, wiedergegeben.</w:t>
      </w:r>
    </w:p>
    <w:p>
      <w:r>
        <w:rPr>
          <w:b/>
        </w:rPr>
        <w:t>E. 6.1</w:t>
      </w:r>
    </w:p>
    <w:p>
      <w:r>
        <w:t>Die fragliche Gesetzesdelegation ist in einem Gesetz im formellen Sinn enthalten (Art. 15 Abs. 4 Bst. b StromVG), beschränkt sich auf die Überwälzung der Kosten und damit auf ein bestimmtes, genau umschriebenes Sachgebiet. Sodann sind die wichtigen Regelungen - wie insbesondere die Bestimmung des grundsätzlich zahlungspflichtigen Endverbrauchers - im StromVG selber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nebst vorne E. 5.3.1 f. auch Botschaft StromVG, BBl 2005 1681). Das Bundesverwaltungsgericht kann deshalb Art. 31b StromVV uneingeschränkt auf seine Gesetz- und Verfassungsmässigkeit überprüfen.</w:t>
      </w:r>
    </w:p>
    <w:p>
      <w:r>
        <w:rPr>
          <w:b/>
        </w:rPr>
        <w:t>E. 6.2</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6.3</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w:t>
      </w:r>
    </w:p>
    <w:p>
      <w:r>
        <w:rPr>
          <w:b/>
        </w:rPr>
        <w:t>E. 6.4</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6.2).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Die ElCom bringt mit Betonung auf den Charakter von Art. 31b StromVV als Übergangsbestimmung schliesslich noch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6.5</w:t>
      </w:r>
    </w:p>
    <w:p>
      <w:r>
        <w:t>Das Bundesverwaltungsgericht kommt zum Schluss, dass die Beschwerdeführerinnen in ihrer Eigenschaft als Betreiberinnen eines Kraftwerks mit einer elektrischen Leistung von mindestens 50 MW nicht mit Kosten für allgemeine SDL belastet werden können. Deshalb ist Ziff. 3 des Dispositivs der angefochtenen Verfügung, soweit sie betreffend, aufzuheben. Da die Belastung von Kraftwerken mit Kosten für allgemeine SDL aufgrund der heutigen Gesetzesgrundlagen an sich nicht zulässig ist, erübrigt sich die Prüfung, ob die Grenze von 50 MW sachlich gerechtfertigt sein könnte.</w:t>
      </w:r>
    </w:p>
    <w:p>
      <w:r>
        <w:rPr>
          <w:b/>
        </w:rPr>
        <w:t>E. 7.1</w:t>
      </w:r>
    </w:p>
    <w:p>
      <w:r>
        <w:t>Die Beschwerdeführerinnen beantragen auch die Aufhebung von Ziff. 2 des Dispositivs der angefochtenen Verfügung. Aus der Beschwerdebegründung ergibt sich, dass die Beschwerdeführerinnen den von der Vorinstanz für allgemeine SDL festgelegten Tarif von 0.77 Rappen/kWh (Ziff. 2 Satz 1 des Dispositivs) nicht bestreiten. Sie rügen lediglich, dass von diesen 0.77 Rappen/kWh bloss 0.4 Rappen/kWh den Netzbetreibern und den direkt am Übertragungsnetz angeschlossenen Endverbrauchern angelastet werden dürfen (Ziff. 2 Satz 2 des Dispositivs). Nur insofern ist Ziff. 2 des Dispositivs deshalb nachfolgend auf ihre Rechtmässigkeit zu überprüfen. Eingangs ist anzumerken, dass Ziff. 2 Satz 2 des Dispositivs die "Endverbraucher" aufführt, welchen die 0.4 Rappen/kWh entsprechend der "bezogenen elektrischen Energie" angelastet werden sollen. Dabei handelt es sich um einen Redaktionsfehler. Gemeint sind Art. 31b Abs. 1 StromVV folgend die Netzbetreiber und die direkt am Übertragungsnetz angeschlossenen Endverbraucher, welchen die 0.4 Rappen/kWh entsprechend der "bezogenen Energie der Endverbraucher" angelastet werden.</w:t>
      </w:r>
    </w:p>
    <w:p>
      <w:r>
        <w:rPr>
          <w:b/>
        </w:rPr>
        <w:t>E. 7.2</w:t>
      </w:r>
    </w:p>
    <w:p>
      <w:r>
        <w:t>Art. 31b Abs. 1 StromVV bestimmt, dass den Netzbetreibern und den am Übertragungsnetz direkt angeschlossenen Endverbrauchern die Kosten für allgemeine SDL zu höchstens 0.4 Rappen/kWh in Rechnung gestellt werden. Die Beschränkung der Belastung der Netzbetreiber und der am Übertragungsnetz direkt angeschlossenen Endverbraucher auf 0.4 Rappen/kWh erfolgte erst mit der Revision der StromVV vom 12. Dezember 2008 (vgl. vorne E. 5.4.3)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 Die von der Vorinstanz anerkannten Kosten für allgemeine SDL entsprechen einem Tarif von 0.77 Rappen/kWh.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Beschwerdeführerinnen aufzuheben.</w:t>
      </w:r>
    </w:p>
    <w:p>
      <w:r>
        <w:rPr>
          <w:b/>
        </w:rPr>
        <w:t>E. 8</w:t>
      </w:r>
    </w:p>
    <w:p>
      <w:r>
        <w:t>Zusammenfassend ist festzuhalten, dass Art. 31b Abs. 2 StromVV gegen Art. 164 Abs. 1 BV und Art. 14 Abs. 2 StromVG verstösst, mit andern Worten verfassungs- und gesetzwidrig ist und damit nicht angewendet werden kann. Art. 31b Abs. 1 StromVV ist insofern gesetzwidrig und kann nicht zur Anwendung gelangen, als er bestimmt, dass den Netzbetreibern und den am Übertragungsnetz direkt angeschlossenen Endverbrauchern nur ein Tarif für allgemeine SDL zu höchstens 0.4 Rappen/kWh in Rechnung gestellt werden kann. Die Beschwerden der Beschwerdeführerinnen sind somit gutzuheissen und Ziff. 2 Satz 2 sowie Ziff. 3 des Dispositivs der angefochtenen Verfügung vom 6. März 2009 - soweit die Beschwerdeführerinnen betreffend - aufzuheben.</w:t>
      </w:r>
    </w:p>
    <w:p>
      <w:r>
        <w:rPr>
          <w:b/>
        </w:rPr>
        <w:t>E. 9</w:t>
      </w:r>
    </w:p>
    <w:p>
      <w:r>
        <w:t>Das Bundesverwaltungsgericht auferlegt die Verfahrenskosten grundsätzlich der unterliegenden Partei (Art. 63 Abs. 1 VwVG). Da die Beschwerdeführerinnen wie auch die Beschwerdegegnerin obsiegen, während der unterliegenden Vorinstanz nach Art. 63 Abs. 2 VwVG keine Verfahrenskosten auferlegt werden können, werden keine Verfahrenskosten erhoben. Demnach sind die von den Beschwerdeführerinnen geleisteten Kostenvorschüsse von jeweils pro Einzeldossier Fr. 1'500.-- (gesamthaft somit für alle drei Beschwerdeverfahren Fr. 4'500.--) nach Eintritt der Rechtskraft dieses Urteils vollumfänglich zurückzuerstatten. Parteientschädigungen werden mangels anwaltlicher Vertretung aller Parteien keine ausgerichtet und sind auch von keiner Seite verlangt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