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A-2496/2009 vom 11. Januar 2010</w:t>
      </w:r>
    </w:p>
    <w:p>
      <w:r>
        <w:t>Bundesverwaltungsgericht, 2010-01-11, DE</w:t>
      </w:r>
    </w:p>
    <w:p>
      <w:r>
        <w:rPr>
          <w:b/>
        </w:rPr>
        <w:t xml:space="preserve">Quelle: </w:t>
      </w:r>
      <w:r>
        <w:t>https://mcp.opencaselaw.ch/entscheid/bvger_A-2496_2009</w:t>
      </w:r>
    </w:p>
    <w:p>
      <w:r>
        <w:t>FR: TAF A-2496/2009 du 11 janvier 2010</w:t>
      </w:r>
    </w:p>
    <w:p>
      <w:r>
        <w:t>IT: TAF A-2496/2009 del 11 gennaio 2010</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Vorinstanz sind beim Bundesverwaltungsgericht anfechtbar (Art. 37 Abs. 1 des Bundesgesetzes vom 4. Oktober 1991 über die Eidgenössischen Technischen Hochschulen [ETH-Gesetz, SR 414.110] i.V.m. Art. 33 Bst. f VGG). Eine Ausnahme, was das Sachgebiet angeht, ist nicht gegeben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1.4</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2.1</w:t>
      </w:r>
    </w:p>
    <w:p>
      <w:r>
        <w:t>Das Bundesverwaltungsgericht auferlegt sich ebenso wie das Bundesgericht sowie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(vgl. Urteil des BVGer B-6340/2008 vom 26. August 2009 E. 3, BVGE 2008/14 E. 3.3, mit weiteren Hinweisen). Vorliegend sind Fragen zum Prüfungablauf strittig. Diese beurteilt das Gericht mit voller Kognition.</w:t>
      </w:r>
    </w:p>
    <w:p>
      <w:r>
        <w:rPr>
          <w:b/>
        </w:rPr>
        <w:t>E. 3</w:t>
      </w:r>
    </w:p>
    <w:p>
      <w:r>
        <w:t>Die Beschwerdeführerin macht geltend, sie sei vom Examinator ungenügend über ein zur Verfügung gestelltes Hilfsmittel zur Prüfungsvorbereitung informiert worden. Es ist damit zunächst zu prüfen, ob der Examinator seine Informationspflichten gemäss den einschlägigen Bestimmungen der ETHZ erfüllt hat. Die Aufgaben der Examinatoren werden in Art. 13 der allgemeinen Verordnung vom 10. September 2002 über Leistungskontrollen an der Eidgenössischen Technischen Hochschule Zürich (AVL ETHZ, SR 414.135.1) geregelt. Dazu gehören namentlich Informationspflichten. Gemäss Art. 13 Abs. 4 Bst. b ALV ETHZ informiert der Examinator die Studierenden rechtzeitig über Stoff, Modus, Dauer und Sprache der Leistungskontrolle sowie über die zulässigen Hilfsmittel. Es scheint bereits fraglich, ob eine Information über ein auf der Internetseite aufgeschaltetes Übungsinstrument unter die Informationspflichten fällt. Die Beschwerdegegnerin macht zu Recht geltend, die Formulierung "zulässige Hilfsmittel" zeige, dass damit die in der Prüfung erlaubten Hilfsmittel gemeint seien. Eine Beschränkung der zur Vorbereitung zulässigen Hilfsmittel besteht nicht, der Zusatz "zulässig" hätte in diesem Zusammenhang damit keine Bedeutung. Die Übungsfragen sind auch nicht als Prüfungsstoff zu bezeichnen. Im Übrigen hat der Examinator, selbst wenn die Übungsfragen von den Informationspflichten erfasst wären, im Rahmen der - auch der Beschwerdeführerin zugänglichen - Vorlesung auf die Übungsfragen hingewiesen und damit seine Pflichten gemäss Art. 13 ALV ETHZ erfüllt. Auch aus Art. 17 Abs. Abs. 1 Bst. d ALV ETHZ sind keine weitergehenden Informationspflichten abzuleiten. Gemäss dieser Bestimmung sind im Prüfungsplan die erlaubten Hilfsmittel anzuführen. Damit sind jedoch die in der Prüfung selbst erlaubten Hilfsmittel, nicht aber Mittel zur Prüfungsvorbereitung gemeint.</w:t>
      </w:r>
    </w:p>
    <w:p>
      <w:r>
        <w:rPr>
          <w:b/>
        </w:rPr>
        <w:t>E. 4</w:t>
      </w:r>
    </w:p>
    <w:p>
      <w:r>
        <w:t>Die Beschwerdeführerin wendet nun aber ein, aus dem Gebot der Rechtsgleichheit habe sich eine Verpflichtung ergeben, auch sie als Repetentin, welche die Vorlesung nicht mehr besuchte bzw. besuchen musste, über die Übungsfragen zu informieren.</w:t>
      </w:r>
    </w:p>
    <w:p>
      <w:r>
        <w:rPr>
          <w:b/>
        </w:rPr>
        <w:t>E. 4.1</w:t>
      </w:r>
    </w:p>
    <w:p>
      <w:r>
        <w:t>Der Rechtsgleichheitsgrundsatz (Art. 8 Abs. 1 der Bundesverfassung der Schweizerischen Eidgenossenschaft vom 18. April 1999 [BV, SR 101])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zu regelnden Verhältnissen nicht ersichtlich ist, oder wenn Unterscheidungen unterlassen werden, die aufgrund der Verhältnisse hätten getroffen werden müssen (vgl. statt vieler BGE 135 V 361 E. 5.4.1).</w:t>
      </w:r>
    </w:p>
    <w:p>
      <w:r>
        <w:rPr>
          <w:b/>
        </w:rPr>
        <w:t>E. 4.2</w:t>
      </w:r>
    </w:p>
    <w:p>
      <w:r>
        <w:t>Das Gebot der rechtsgleichen Behandlung schliesst den Anspruch auf rechtsgleiche Prüfungsbedingungen im Prüfungsverfahren ein (BGE 123 I 19 E. 3b, BGE 123 I 241 E. 2b; je mit Hinweisen). Dazu zählen bei einer schriftlichen Prüfung neben einer materiell gleichwertigen Aufgabenstellung und einem geordneten Verfahrensablauf auch die Gleichwertigkeit von zusätzlichen Examenshilfen wie abgegebenem Material, speziellen Erläuterungen oder Hinweisen vor oder während der Prüfung. Ungleiche Orientierungshilfen, wie nicht an alle Kandidaten abgegebene, dem Verständnis der Aufgabenstellung und damit der Lösungsfindung dienende Zusatzinformationen, widersprechen dem Grundsatz der rechtsgleichen Prüfungsbedingungen. Entsprechende Mängel stellen indessen nur in solchen Fällen einen rechtserheblichen Verfahrensmangel dar, wo sie in kausaler Weise das Prüfungsergebnis eines Kandidaten entscheidend beeinflussen können oder beeinflusst haben (Urteil 1P.420/2000 des Bundesgerichts vom 3. Oktober 2000 E. 4b). Übungsfragen können bei der Prüfungsvorbereitung wesentliche Dienste leisten und die Prüfungsergebnisse eines Kandidaten in kausaler Weise beeinflussen. Die Information und Abgabe von Übungsfragen hat daher grundsätzlich in rechtsgleicher Weise zu erfolgen. Es stellt sich damit die Frage, ob der Umstand, dass die Beschwerdeführerin als Repetentin die Vorlesung nicht ein zweites Mal besuchte, verlangt, sie auf andere Weise als durch eine Mitteilung in der Vorlesung zu informieren.</w:t>
      </w:r>
    </w:p>
    <w:p>
      <w:r>
        <w:rPr>
          <w:b/>
        </w:rPr>
        <w:t>E. 4.3</w:t>
      </w:r>
    </w:p>
    <w:p>
      <w:r>
        <w:t>Die Rechtsprechung hatte sich bereits zur Gleichbehandlung von Repetentinnen und Studierenden, die zum ersten Mal zur Prüfung antreten, zu äussern.</w:t>
      </w:r>
    </w:p>
    <w:p>
      <w:r>
        <w:rPr>
          <w:b/>
        </w:rPr>
        <w:t>E. 4.3.1</w:t>
      </w:r>
    </w:p>
    <w:p>
      <w:r>
        <w:t>Das Bundesverwaltungsgericht bezeichnete es im Entscheid B-6011/2008 vom 3. April 2009, E. 3.4, als zulässig, bei einer Prüfung Fragen aus einer früheren Prüfungssession erneut zu verwenden. Es hielt fest, es stehe allen Kandidaten frei, mit früheren Prüfungsabsolventen Kontakt aufzunehmen und sich Prüfungsfragen zu beschaffen. Zudem bestehe regelmässig eine grosse Auswahl an Fragen und seien die Examinatoren seien frei, frühere und neue Fragen zu kombinieren. Vor diesem Hintergrund sei die Kenntnis von Fragen aus dem ersten Prüfungsversuch nicht als rechtserheblicher Vorteil zu betrachten, weshalb keine Ungleichbehandlung zugunsten der Repetenten vorliege. Die Ausgangslage ist zwar mit jener im vorliegenden Verfahren nur beschränkt vergleichbar. Festzuhalten ist aber, dass das Gericht eine gewisse eigene Aktivität der Kandidaten zur Beschaffung von Fragen zur Prüfungsvorbereitung als zumutbar und mit der Rechtsgleichheit vereinbar betrachtet.</w:t>
      </w:r>
    </w:p>
    <w:p>
      <w:r>
        <w:rPr>
          <w:b/>
        </w:rPr>
        <w:t>E. 4.3.2</w:t>
      </w:r>
    </w:p>
    <w:p>
      <w:r>
        <w:t>Ferner ist es gemäss einem Entscheid des ETH-Rates vom 20. Mai 1999 (publiziert in Verwaltungspraxis der Bundesbehörden [VPB] 63.89 E. 2a, mit Hinweisen) zulässig und vor dem Hintergrund des Gleichbehandlungsanspruchs geboten, wenn Repetenten gleich wie die erstmaligen Absolventen über den aktuellen Vorlesungsstoff des Examinators geprüft werden, auch wenn sich daraus unter Umständen eine im Vergleich zum ersten Prüfungsversuch andere Gewichtung des Prüfungsstoffs ergibt. Es besteht gemäss diesem Entscheid kein Anspruch auf Identität der Prüfungsstoffe beider Prüfungsversuche oder auf Übereinstimmung zwischen dem Lehr- und dem Prüfungsstoff. Dasselbe kann im Hinblick auf Hilfsmittel zur Prüfungsvorbereitung ausgeführt werden. Die Examinatoren müssen aber die Studierenden rechtzeitig über den Prüfungsstoff sowie die zusätzlichen Hilfsmittel informieren.</w:t>
      </w:r>
    </w:p>
    <w:p>
      <w:r>
        <w:rPr>
          <w:b/>
        </w:rPr>
        <w:t>E. 4.4</w:t>
      </w:r>
    </w:p>
    <w:p>
      <w:r>
        <w:t>Es ist vorliegend unbestritten, dass der Examinator die Studierenden während der Vorlesungen über den Prüfungsstoff und die Existenz der umstrittenen Übungsfragen informiert hat. Die Orientierung während der Vorlesungen erscheint durchaus zweckmässig. Wenn die Beschwerdeführerin am Vorlesungsbesuch verhindert war oder die Vorlesungen kein zweites Mal besuchen wollte, da diese weitgehend mit den von ihr bereits besuchten Lehrveranstaltungen übereinstimmten, hätte sie den Examinator oder seine Assistenz aufsuchen müssen, um sich über allfällige wissenswerte Informationen im Hinblick auf den zweiten Prüfungsversuch zu vergewissern (VPB 63.89 E. 2b). Ein Anspruch auf aktive Information der die Vorlesung nicht besuchenden Studierenden kann auch aus dem Gleichbehandlungsgebot nicht abgeleitet werden. Hinzu kommt, dass der Link zu den Übungsfragen auf der Homepage des Examinators ohne Weiteres sichtbar, auf der selben Hierarchiestufe wie der von der Beschwerdeführerin angeklickte Link "Prüfungen" platziert und sachgerecht beschriftet war. Die Beschwerdeführerin hätte die Übungsfragen ohne Weiteres erkennen und abrufen können.</w:t>
      </w:r>
    </w:p>
    <w:p>
      <w:r>
        <w:rPr>
          <w:b/>
        </w:rPr>
        <w:t>E. 5</w:t>
      </w:r>
    </w:p>
    <w:p>
      <w:r>
        <w:t>Die Beschwerdeführerin macht weiter geltend, dank den ihnen zur Verfügung gestellten Übungsfragen hätten die erstmaligen Absolventen bessere Leistungen erbringen können und so eine Verschärfung der Bewertungsskala bewirkt. Sie verlangt aus diesem Grund die Vorlage der Resultate aller Prüfungen. Nachdem die Beschwerdeführerin - wie gezeigt - mit Bezug auf die Übungsfragen nicht rechtsungleich behandelt wurde und diese ebenfalls hätte nutzen können, wäre es auch nicht zu beanstanden, wenn die erstmaligen Absolventen dadurch bessere Resultate erzielt hätten. Der Antrag auf Vorlage der Prüfungsresultate ist daher abzuweisen.</w:t>
      </w:r>
    </w:p>
    <w:p>
      <w:r>
        <w:rPr>
          <w:b/>
        </w:rPr>
        <w:t>E. 6</w:t>
      </w:r>
    </w:p>
    <w:p>
      <w:r>
        <w:t>Schliesslich bringt die Beschwerdeführerin vor, ein zweimaliges Nichtbestehen von Leistungskontrollen führe nach Art. 4 Abs. 2 ALV ETHZ nur "in der Regel" zu einem Ausschluss vom Studium. Angesichts des zweimaligen knappen Misserfolges, der bereits langen Studiendauer von sechs Jahren und der fehlenden Möglichkeiten, das Studium an einer andern Universität oder Fachhochschule weiterzuführen, sei von einem Härtefall auszugehen und von einem Studienausschluss abzusehen.</w:t>
      </w:r>
    </w:p>
    <w:p>
      <w:r>
        <w:rPr>
          <w:b/>
        </w:rPr>
        <w:t>E. 6.1</w:t>
      </w:r>
    </w:p>
    <w:p>
      <w:r>
        <w:t>Die Bedeutung der Formulierung "in der Regel" geht aus Art. 4 Abs. 2 ALV ETHZ nicht eindeutig hervor. So ist nicht umschrieben, unter welchen Umständen oder zu welchem Zweck von der Regel abgewichen werden kann bzw. muss. Es scheint aber nicht ausgeschlossen, im Rahmen des mit dieser Formulierung eingeräumten Spielraums im Sinne einer Härtefallregelung besonderen Umständen - wie etwa gesundheitlichen Problemen (vgl. Urteil des BVGer A-541/2009 vom 24. November 2009 E. 5.2 ff.) Rechnung zu tragen.</w:t>
      </w:r>
    </w:p>
    <w:p>
      <w:r>
        <w:rPr>
          <w:b/>
        </w:rPr>
        <w:t>E. 6.2</w:t>
      </w:r>
    </w:p>
    <w:p>
      <w:r>
        <w:t>Die Beschwerdeführerin verweist zunächst auf die knappen Misserfolge im ersten und im zweiten Prüfungsversuch. Ein Ausschluss nach knappen Misserfolgen trifft die Beschwerdeführerin zweifellos hart. Es liegt aber in der Natur von Prüfungen, dass eine starre Grenze zwischen genügenden und ungenügenden Leistungen zu ziehen ist. Würde aufgrund des knappen Misserfolges auf einen Studienausschluss verzichtet, müsste dies aus Gleichbehandlungsgründen bei allen Absolventen, welche die Prüfung knapp nicht bestanden haben, gleich gehandhabt werden. Dies würde aber lediglich eine Verschiebung des Prüfungsmassstabs bewirken und zu neuen Härtefällen führen. Ein knapper Misserfolg stellt demnach für sich alleine keinen Härtefall dar.</w:t>
      </w:r>
    </w:p>
    <w:p>
      <w:r>
        <w:rPr>
          <w:b/>
        </w:rPr>
        <w:t>E. 6.3</w:t>
      </w:r>
    </w:p>
    <w:p>
      <w:r>
        <w:t>Weiter beruft sich die Beschwerdeführerin auf die lange Studiendauer. Es ist aber nicht ersichtlich und wird auch nicht geltend gemacht, dass Umstände, die nicht von der Beschwerdeführerin zu verantworten sind, zu einer Studiendauer von bereits sechs Jahren führten. Vor diesem Hintergrund kann die Beschwerdeführerin aus der langen Studiendauer nichts zu ihren Gunsten ableiten.</w:t>
      </w:r>
    </w:p>
    <w:p>
      <w:r>
        <w:rPr>
          <w:b/>
        </w:rPr>
        <w:t>E. 6.4</w:t>
      </w:r>
    </w:p>
    <w:p>
      <w:r>
        <w:t>Schliesslich macht die Beschwerdeführerin geltend, im Fach Pharmazie bestehe nicht die Möglichkeit, an einer Fachhochschule oder einer Universität weiterzustudieren. Sie werde deshalb endgültig vom Studium dieser Fachrichtung ausgeschlossen. Dieser definitive Ausschluss trifft alle erfolglosen Kandidatinnen und Kandidaten des Fachgebietes. Die Gewährung einer Ausnahme ist indessen nur statthaft, wenn ein wirklicher Sonderfall vorliegt, der ein Abweichen von der zugrundeliegenden Norm rechtfertigt. Diese Voraussetzung ist nicht erfüllt, wenn die zu beurteilenden Situation in einer Vielzahl von Fällen vorkommt (PIERRE TSCHANNEN/ULRICH ZIMMERLI/MARKUS MÜLLER, Allgemeines Verwaltungsrecht, 3. Aufl., Bern 2009, § 44 Rz. 49). Ein eigentlicher Sonderfall liegt nicht vor.</w:t>
      </w:r>
    </w:p>
    <w:p>
      <w:r>
        <w:rPr>
          <w:b/>
        </w:rPr>
        <w:t>E. 7</w:t>
      </w:r>
    </w:p>
    <w:p>
      <w:r>
        <w:t>Die Beschwerde ist daher abzuweisen. Bei diesem Ausgang des Verfahrens sind die Verfahrenskosten von Fr. 1'000.- der unterliegenden Beschwerdeführerin aufzuerlegen (Art. 63 VwVG und Art. 1 ff. des Reglements vom 21. Februar 2008 über die Kosten und Entschädigungen vor dem Bundesverwaltungsgericht [VGKE, SR 173.320.2]) und mit dem von ihr geleisteten Kostenvorschuss in gleicher Höhe zu verrechnen.</w:t>
      </w:r>
    </w:p>
    <w:p>
      <w:r>
        <w:rPr>
          <w:b/>
        </w:rPr>
        <w:t>E. 8</w:t>
      </w:r>
    </w:p>
    <w:p>
      <w:r>
        <w:t>Es ist keine Parteientschädigung zuzusprechen (Art. 64 Abs. 1 VwVG und Art. 7 Abs. 1 VGKE e contrario).</w:t>
      </w:r>
    </w:p>
    <w:p>
      <w:r>
        <w:rPr>
          <w:b/>
        </w:rPr>
        <w:t>E. 9</w:t>
      </w:r>
    </w:p>
    <w:p>
      <w:r>
        <w:t>Die Beschwerde an das Bundesgericht gegen Urteile betreffend die Ergebnisse von Prüfungen und Fähigkeitsbewertungen ist ausgeschlossen (Art. 83 Bst. t des Bundesgerichtsgesetzes vom 17. Juni 2005 [BGG, SR 173.110]). Der vorliegende Entscheid ist damit nur anfechtbar, soweit er nicht als Entscheid über ein Prüfungsergebnis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