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A-2490/2020 vom 18. November 2020</w:t>
      </w:r>
    </w:p>
    <w:p>
      <w:r>
        <w:t>Bundesverwaltungsgericht, 2020-11-18, DE</w:t>
      </w:r>
    </w:p>
    <w:p>
      <w:r>
        <w:rPr>
          <w:b/>
        </w:rPr>
        <w:t xml:space="preserve">Quelle: </w:t>
      </w:r>
      <w:r>
        <w:t>https://mcp.opencaselaw.ch/entscheid/bvger_A-2490_2020</w:t>
      </w:r>
    </w:p>
    <w:p>
      <w:r>
        <w:t>FR: TAF A-2490/2020 du 18 novembre 2020</w:t>
      </w:r>
    </w:p>
    <w:p>
      <w:r>
        <w:t>IT: TAF A-2490/2020 del 18 novembre 2020</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von dieser betroffen. Sie ist damit zur Beschwerdeerhebung berechtigt (Art. 48 Abs. 1 VwVG). Auf die im Übrigen form- und fristgerecht eingereichte Beschwerde (Art. 50 Abs. 1 VwVG i.V.m. Art. 22a VwVG i.V.m. Art. 1 Abs. 1 der Verordnung über den Stillstand der Fristen in Zivil- und Verwaltungsverfahren zur Aufrechterhaltung der Justiz im Zusammenhang mit dem Coronavirus [COVID-19; AS 2020 849] und Art. 52 Abs. 1 VwVG)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vgl. BVGE 2007/41 E. 2; Urteile des BVGer A-4778/2019 vom 2. September 2020 E. 2.2, A-956/2019 vom 3. Mai 2019 E. 1.3, A-3678/2016 vom 6. August 2018 E. 2.2; André Moser/Michael Beusch/Lorenz Kneubühler, Prozessieren vor dem Bundesverwaltungsgericht, 2. Aufl. 2013, Rz. 1.54; Pierre Moor/Etienne Poltier, Droit administratif, Bd. II, 3. Aufl. 2011, Ziff. 2.2.6.5 S. 300 f.).</w:t>
      </w:r>
    </w:p>
    <w:p>
      <w:r>
        <w:rPr>
          <w:b/>
        </w:rPr>
        <w:t>E. 1.5.2</w:t>
      </w:r>
    </w:p>
    <w:p>
      <w:r>
        <w:t>Im Steuerrecht gilt grundsätzlich, dass die Steuerbehörde für die steuerbegründenden und steuererhöhenden Tatsachen beweisbelastet ist, während der steuerpflichtigen Person der Nachweis der Tatsachen obliegt, welche die Steuerschuld mindern oder aufheben (statt vieler: BGE 140 II 248 E. 3.5, 121 II 257 E. 4c/aa; Urteile des BVGer A-5288/2018 vom 10. September 2020 E. 2.2.2, A-5186/2019 vom 28. August 2020 E. 1.3.2, A-1335/2014 vom 14. Dezember 2015 E. 2.3).</w:t>
      </w:r>
    </w:p>
    <w:p>
      <w:r>
        <w:rPr>
          <w:b/>
        </w:rPr>
        <w:t>E. 1.6.1</w:t>
      </w:r>
    </w:p>
    <w:p>
      <w:r>
        <w:t>Die Beschwerdeführerin beantragt neben der Aufhebung des angefochtenen Einspracheentscheids, es sei festzustellen, dass der zwischen der Z._______ AG sowie der X._______ B.V. und der Y._______ B.V. vereinbarte Pachtzins gemäss Pachtvertrag vom 1. Dezember 2011 marktkonform sei.</w:t>
      </w:r>
    </w:p>
    <w:p>
      <w:r>
        <w:rPr>
          <w:b/>
        </w:rPr>
        <w:t>E. 1.6.2</w:t>
      </w:r>
    </w:p>
    <w:p>
      <w:r>
        <w:t>Ein Feststellungsbegehren ist - abgesehen von hier nicht einschlägigen Ausnahmen - praxisgemäss nur zulässig, wenn das geltend gemachte schutzwürdige Interesse nicht ebenso gut mit einer Leistungs- oder Gestaltungsverfügung gewahrt werden kann (sog. Subsidiarität der Feststellungsverfügung; Urteile des BVGer A-5911/2019 vom 12. März 2020 E. 1.5.1, A-5664/2018 vom 23. April 2019 E. 1.2, A-6118/2011 vom 5. Januar 2012 E. 1.4.1; Isabelle Häner, in: Waldmann/Weissenberger [Hrsg.], Praxiskommentar Verwaltungsverfahrensgesetz, 2. Aufl. 2016, Art. 25 N. 17 ff.).</w:t>
      </w:r>
    </w:p>
    <w:p>
      <w:r>
        <w:rPr>
          <w:b/>
        </w:rPr>
        <w:t>E. 1.6.3</w:t>
      </w:r>
    </w:p>
    <w:p>
      <w:r>
        <w:t>Im hier angefochtenen Einspracheentscheid wird die Steuerforderung (bzw. der über die Selbstdeklaration hinausgehende Betrag) festgesetzt. Vorliegend ist daher zu prüfen, ob die Vorinstanz diesen Betrag zu Recht so festgesetzt hat oder ob er allenfalls zu korrigieren ist. Damit können die Interessen der Beschwerdeführerin mittels Leistungsurteil gewahrt werden. Ihr Feststellungsbegehren ist entsprechend dahingehend umzudeuten, dass der von der Steuerverwaltung zusätzlich zur Selbstdeklaration festgesetzte Mehrwertsteuerbetrag zu reduzieren sei.</w:t>
      </w:r>
    </w:p>
    <w:p>
      <w:r>
        <w:rPr>
          <w:b/>
        </w:rPr>
        <w:t>E. 1.7</w:t>
      </w:r>
    </w:p>
    <w:p>
      <w:r>
        <w:t>Der vorliegend umstrittene Sachverhalt betrifft die Steuerperioden 2012 bis 2014. Die für die Jahre 2010 und 2012 von der Vorinstanz vorgenommenen Vorsteuerabzugskorrekturen sind nicht bestritten und damit rechtskräftig geworden. Damit kommt das am 1. Januar 2010 in Kraft getretene Bundesgesetz vom 12. Juni 2009 über die Mehrwertsteuer (MWSTG, SR 641.20) zur Anwendung (Art. 112 Abs. 1 MWSTG e contrario).</w:t>
      </w:r>
    </w:p>
    <w:p>
      <w:r>
        <w:rPr>
          <w:b/>
        </w:rPr>
        <w:t>E. 2.1</w:t>
      </w:r>
    </w:p>
    <w:p>
      <w:r>
        <w:t>Der Bund erhebt eine allgemeine Verbrauchssteuer nach dem System der Netto-Allphasensteuer mit Vorsteuerabzug (Mehrwertsteuer; Art. 130 BV, Art. 1 Abs. 1 MWSTG). Der Mehrwertsteuer unterliegen unter anderem die im Inland von steuerpflichtigen Personen gegen Entgelt erbrachten Leistungen; sie sind steuerbar, soweit das MWSTG keine Ausnahme vorsieht (Inlandsteuer, Art. 18 Abs. 1 MWSTG). Der Mehrwertsteuersatz (Normalsatz) betrug in den relevanten Jahren (2012 bis 2014) 8 % (Art. 25 Abs. 1 MWSTG in der vom 1. Januar 2011 bis zum 31. Dezember 2017 geltenden Fassung [AS 2010 2055 und AS 2017 6305]).</w:t>
      </w:r>
    </w:p>
    <w:p>
      <w:r>
        <w:rPr>
          <w:b/>
        </w:rPr>
        <w:t>E. 2.2.1</w:t>
      </w:r>
    </w:p>
    <w:p>
      <w:r>
        <w:t>Die Steuer wird vom von der steuerpflichtigen Person tatsächlich empfangenen Entgelt berechnet (Art. 24 Abs. 1 MWSTG).</w:t>
      </w:r>
    </w:p>
    <w:p>
      <w:r>
        <w:rPr>
          <w:b/>
        </w:rPr>
        <w:t>E. 2.2.2</w:t>
      </w:r>
    </w:p>
    <w:p>
      <w:r>
        <w:t>Dieser Grundsatz wird durch Art. 24 Abs. 2 MWSTG eingeschränkt. Danach gilt im Fall einer Lieferung oder Dienstleistung an eine eng verbundene Person im Sinne von Art. 3 Bst. h MWSTG als Entgelt der Wert, der unter unabhängigen Dritten vereinbart würde. Diese Bestimmung entspricht dem im Steuerrecht bekannten Grundsatz des Drittvergleichs (sog. dealing at arm's length; vgl. BGE 142 II 488 E. 3.5.2; Urteile des BVGer A-5556/2019 vom 28. Mai 2020 E. 2.3.2, A-2137/2018 vom 15. Januar 2020 E. 3).</w:t>
      </w:r>
    </w:p>
    <w:p>
      <w:r>
        <w:rPr>
          <w:b/>
        </w:rPr>
        <w:t>E. 2.2.3</w:t>
      </w:r>
    </w:p>
    <w:p>
      <w:r>
        <w:t>Die Anwendbarkeit dieses Artikels bedingt eine Leistung zu einem Vorzugspreis, also zu einem Entgelt, welches nicht mit dem Preis übereinstimmt, den ein unabhängiger Dritter zu bezahlen hätte (sog. Drittpreis). Im Weiteren muss es sich beim Empfänger der Leistung um eine eng verbundene Person im Sinne von Art. 3 Bst. h MWSTG handeln. Als solche gelten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(vgl. Urteile des BVGer A-5556/2019 vom 28. Mai 2020 E. 2.3.3, A-2137/2018 vom 15. Januar 2020 E. 3, A-6831/2013 vom 8. Juli 2015 E. 3.2.2.2).</w:t>
      </w:r>
    </w:p>
    <w:p>
      <w:r>
        <w:rPr>
          <w:b/>
        </w:rPr>
        <w:t>E. 2.2.4</w:t>
      </w:r>
    </w:p>
    <w:p>
      <w:r>
        <w:t>Rechtsfolge einer solchen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üblicherweise für dieselbe Leistung zu bezahlen hätte (sog. Marktwert; vgl. Urteil des BGer 2C_778/2008 vom 8. April 2009 E. 3.1; zum Ganzen auch: Urteile des BVGer A-2137/2018 vom 15. Januar 2020 E. 3, A-6831/2013 vom 8. Juli 2015 E. 3.2.2.3). Dieser Drittpreis ist in den meisten Fällen kein exakter Wert, sondern kann nur annäherungsweise bestimmt werden (Urteil des BVGer A-2137/2018 vom 15. Januar 2020 E. 3 m.Hw.). Zur Ermittlung des Drittpreises können Methoden, die auch bei den direkten Steuern Anwendung finden, herangezogen werden (namentlich die Kostenaufschlags- bzw. Cost Plus-, die Preisvergleichs- oder die Wiederverkaufspreismethode; vgl. Urteile des BVGer A-5431/2015 vom 28. April 2016 E. 2.4, A-104/2013 vom 22. Juli 2013 E. 4.3; Sonja Bossart/Diego Clavadetscher, in: Zweifel/Beusch/ Glauser/Robinson [Hrsg.], Kommentar zum schweizerischen Steuerrecht, Bundesgesetz über die Mehrwertsteuer, 2015, Art. 24 N. 59 ff.). Diese Methoden wurden im Wesentlichen entsprechend vom Bundesgericht bestätigt (vgl. Urteil des BGer 2C_495/2017 und 2C_512/2017 vom 27. Mai 2019 E. 7.2.2 und E. 11.1; siehe auch Urteile des BVGer A-5556/2019 vom 28. Mai 2020 E. 2.3.4, A-2304/2019 vom 20. April 2020 E. 2.2.4.4 und E. 3.4, letzteres bestätigt durch das Urteil des BGer 2C_443/2020 vom 8. Oktober 2020, insb. E. 3.2.2).</w:t>
      </w:r>
    </w:p>
    <w:p>
      <w:r>
        <w:rPr>
          <w:b/>
        </w:rPr>
        <w:t>E. 2.2.5</w:t>
      </w:r>
    </w:p>
    <w:p>
      <w:r>
        <w:t>Die ESTV hat somit zur Ermittlung des Drittpreises grundsätzlich eine Schätzung durchzuführen und sich dabei an die im Zusammenhang mit der Ermessenseinschätzung von Art. 79 Abs. 1 MWSTG entwickelten Prinzipien zu halten. Dies gilt insbesondere für die Rechte und Pflichten der ESTV bei einer Veranlagung, für die Möglichkeit des Steuerpflichtigen, die Veranlagung anzufechten, sowie für die Zurückhaltung, die das Bundesverwaltungsgericht bei der Überprüfung der Richtigkeit der Veranlagung an den Tag legt (Urteil des BVGer A-6831/2013 vom 8. Juli 2015 E. 3.2.2.4).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falls die Voraussetzungen für eine Schätzung des Werts erfüllt sind (erste Stufe), und die vorinstanzliche Schätzung nicht bereits im Rahmen der durch das Bundesverwaltungsgericht mit der gebotenen Zurückhaltung vorzunehmenden Prüfung als pflichtwidrig erscheint (zweite Stufe), es in Umkehr der allgemeinen Beweislast dem Steuerpflichtigen obliegt, den Nachweis für die Unrichtigkeit der Schätzung zu erbringen (dritte Stufe; vgl. hierzu Urteile des BVGer A-5556/2019 vom 28. Mai 2020 E. 2.3.5, A-2137/2018 vom 15. Januar 2020 E. 4.3; ausführlich: Urteil des BVGer A-2496/2020 vom heutigen Datum E. 2.3.3 ff., welches das konnexe Verfahren der Z._______ AG betrifft).</w:t>
      </w:r>
    </w:p>
    <w:p>
      <w:r>
        <w:rPr>
          <w:b/>
        </w:rPr>
        <w:t>E. 3</w:t>
      </w:r>
    </w:p>
    <w:p>
      <w:r>
        <w:t>Im vorliegenden Verfahren hat die Vorinstanz in Bezug auf die Pachtzinsen, welche die Beschwerdeführerin von der Z._______ AG als Gegenleistung für die entsprechende Verpachtung erhält, eine Ermessenseinschätzung vorgenommen, weil sie die tatsächlich bezahlten Pachtzinsen für nicht drittpreiskonform erachtet. Die Beschwerdeführerin ist demgegenüber der Meinung, dass die vereinnahmten Pachtzinsen unter den gegebenen Umständen einem Drittvergleich standhalten. Im Übrigen hält sie die Berechnungsart der Vorinstanz für nicht korrekt. Damit ist im Folgenden zunächst zu prüfen, ob sich die Pachtzinsen, welche die Beschwerdeführerin von einer unbestrittenermassen nahestehenden Person verlangt, als drittpreiskonform erweisen (E. 3.3; zuvor werden die Parteistandpunkte in E. 3.1 und 3.2 dargestellt). Nur wenn dies nicht der Fall ist (erste Stufe; E. 2.2.5), war die Vorinstanz nämlich berechtigt und verpflichtet, eigene Berechnungen dieses Drittpreises vorzunehmen (zweite Stufe; E. 2.2.5).</w:t>
      </w:r>
    </w:p>
    <w:p>
      <w:r>
        <w:rPr>
          <w:b/>
        </w:rPr>
        <w:t>E. 3.1</w:t>
      </w:r>
    </w:p>
    <w:p>
      <w:r>
        <w:t>Die Vorinstanz begründet ihren Standpunkt, dass die Pachtzinsen zu niedrig sind, folgendermassen. Erstens würden der Beschwerdeführerin so jährliche Verluste zwischen Fr. 0.5 Mio. und Fr. 2.1 Mio. entstehen, zweitens sei der amtliche Mietwert deutlich höher als der verrechnete Pachtzins, drittens würden die Gebäudekosten wie Zinsaufwand, Unterhalt und Abschreibungen bei weitem nicht durch die Pachtzinseinnahmen gedeckt und viertens habe die Z._______ AG lediglich den Mindestpachtzins und nicht den vereinbarten höheren Umsatzpachtzins bezahlt. Dieser tiefere Mindestpachtzins werde nur gewährt, wenn Unternehmen eng verbunden seien. Existiere kein unmittelbarer Drittvergleich könne sie (die ESTV) nicht untätig bleiben. Sie habe einen praktikablen Ansatz zu wählen, um die Bemessung der Mehrwertsteuer mittels möglichst realistischer Grundlagen festzulegen. Die Vorinstanz führt aus, alle anfallenden Kosten sowie die Renditeerwartungen eines unabhängigen Investors sollten abgedeckt werden, weil andernfalls die Investition (gar) nicht getätigt würde. Sie (die Vorinstanz) habe einen Vergleichswert ermittelt, der in einem ersten Schritt auf den getätigten Investitionen basiere. Dies sei vorliegend basierend auf der Buchhaltung sowie einer sehr aufwändig erstellten Bauabrechnung unter Einbezug der Praxisfestlegungen der kantonalen Steuerverwaltung wie auch der paritätischen Lebensdauertabelle für Mietwohnungen sachgerecht geschehen. Ein pflichtwidriges Vorgehen ihrerseits sei in keiner Weise ersichtlich und von der Beschwerdeführerin auch nicht nachgewiesen. Selbst wenn nur die Baukostenabrechnung als theoretische Vergleichsgrösse herangezogen würde, zeige sich, dass der vereinbarte Pachtzins bei weitem ungenügend sei. Würden Kapital- und Unterhaltskosten zusätzlich miteinbezogen, verschlechtere sich der Prozentsatz der durch die Pachtzinsen abgedeckten Kosten. Die Kosten seien vorliegend nicht gedeckt, weshalb der tatsächlich bezahlte Pachtzins einem Drittvergleich nicht standhalte und sie (die Vorinstanz) zu Recht eine Ermessensveranlagung vorgenommen habe. Markteinbrüche sowie strukturelle und konjunkturelle Herausforderungen und deren angebliche Folgen hätten sich in den Umsatzzahlen der massgeblichen Steuerperioden 2010 bis und mit 2014 nicht niedergeschlagen. Der tiefere Mindestpachtzins statt des Umsatzpachtzinses sei der Z._______ AG von der Beschwerdeführerin nur gewährt worden, weil die Unternehmen eng verbunden seien. Richtigerweise und im Einklang mit der Rechtsprechung seien bei der Ermittlung des effektiven Kostenaufwandes zusätzlich die Durchschnittswerte der Kapital- und Unterhaltskosten sowie der Gemeinkostenzuschlag von 10 % dazu addiert worden.</w:t>
      </w:r>
    </w:p>
    <w:p>
      <w:r>
        <w:rPr>
          <w:b/>
        </w:rPr>
        <w:t>E. 3.2</w:t>
      </w:r>
    </w:p>
    <w:p>
      <w:r>
        <w:t>Die Beschwerdeführerin bestreitet keines dieser Vorbringen kategorisch, relativiert sie aber und macht insbesondere geltend, die Vorinstanz habe das Marktumfeld und die konkrete Situation nicht beachtet. Auch von einer unabhängigen Drittperson hätte kein höherer Pachtzins verlangt werden können.</w:t>
      </w:r>
    </w:p>
    <w:p>
      <w:r>
        <w:rPr>
          <w:b/>
        </w:rPr>
        <w:t>E. 3.2.1</w:t>
      </w:r>
    </w:p>
    <w:p>
      <w:r>
        <w:t>In Bezug auf die Argumente, sie schreibe jährliche Verluste (erstes Argument der Vorinstanz) und die Gebäudekosten würden nicht durch die Pachtzinseinnahmen gedeckt (drittes Argument der Vorinstanz) bringt die Beschwerdeführerin vor, die laufenden Unterhaltskosten sowie der Finanzaufwand könnten aus dem Cashflow gedeckt werden. Umbaukosten, die ebenfalls im Unterhalt erfasst worden seien, wären betriebswirtschaftlich den Anlagekosten zuzurechnen und die Abschreibungen wären nach betriebswirtschaftlichen Kriterien vorzunehmen. Beim übrigen Aufwand handle es sich im Wesentlichen um Marketingleistungen.</w:t>
      </w:r>
    </w:p>
    <w:p>
      <w:r>
        <w:rPr>
          <w:b/>
        </w:rPr>
        <w:t>E. 3.2.2</w:t>
      </w:r>
    </w:p>
    <w:p>
      <w:r>
        <w:t>Was den amtlichen Mietwert anbelangt (zweites Argument der Vorinstanz), macht die Beschwerdeführerin geltend, am 28. Juni 2013, als die Schätzung durchgeführt worden sei, habe noch keine verlässliche Jahresrechnung vorgelegen. Daher sei von einem voraussichtlichen Umsatz ausgegangen worden und von diesem ein Mietwert von 20 % berechnet worden. Der Eigenmietwert sei aufgrund von Annahmen und Durchschnittswerten ermittelt worden und bilde nicht die konkrete Situation ab.</w:t>
      </w:r>
    </w:p>
    <w:p>
      <w:r>
        <w:rPr>
          <w:b/>
        </w:rPr>
        <w:t>E. 3.2.3</w:t>
      </w:r>
    </w:p>
    <w:p>
      <w:r>
        <w:t>Dem Argument, dass der vereinbarte Mindestzins unterschritten worden sei (viertes Argument der Vorinstanz), hält die Beschwerdeführerin entgegen, der Basispachtzins bzw. der vereinbarte Mindestpachtzins sei bezahlt worden. Nur der vereinbarte Umsatzpachtzins von 10 % des erzielten Umsatzes sei nicht bezahlt worden.</w:t>
      </w:r>
    </w:p>
    <w:p>
      <w:r>
        <w:rPr>
          <w:b/>
        </w:rPr>
        <w:t>E. 3.2.4</w:t>
      </w:r>
    </w:p>
    <w:p>
      <w:r>
        <w:t>Der Drittpreis sei nach der Rechtsprechung jener Preis, den ein Dritter der gleichen Abnehmerkategorie wie der Leistungsempfänger im konkreten Fall auf dem Markt zu bezahlen hätte. Die vorliegenden Vergleiche mit einem kostendeckenden- und gewinnbringenden Pachtzins entsprächen der Idealvorstellung. Für den Drittpreis massgebend sei aber, welcher Pachtzins von einem Pächter bezahlt werden könne. Daher seien die Marktverhältnisse in einer bestimmten Branche und die Situation im konkreten Einzelfall zu berücksichtigen. Es dürfe - so die Beschwerdeführerin sinngemäss - nicht nur auf die Baukostenabrechnung abgestellt werden. Vielmehr sei der Pachtzins im konkreten Einzelfall, mithin für das konkrete Objekt, anhand objektiv feststellbarer Massstäbe zu ermitteln, wobei die tatsächlichen Verhältnisse soweit massgeblich seien, als der ermittelte Wert den effektiven Gegebenheiten auf dem Markt möglichst nahekommen solle. Die Nachfrage in Form der Renditeerwartung finde ihre Grenze an den realen wirtschaftlichen Möglichkeiten des Angebots, denn eine von vornherein überrissene, unangemessene oder unwirtschaftliche Renditeerwartung hätte zur Konsequenz, dass gar kein Angebot entstehen würde, an dem sich die Nachfrage ausrichten könnte, weshalb letztlich kein Markt existieren oder ein solcher versagen würde. Bei der Ermittlung der Renditeerwartung auch eines unabhängigen Investors sei folglich das herrschende Marktumfeld zu berücksichtigen, insbesondere wenn die strukturellen Herausforderungen wie im vorliegenden Fall objektiv feststellbar seien und ein beginnendes Marktversagen beobachtet werden könne. Mit anderen Worten finde die Renditeerwartung ihre Grenze dort, wo sie den Geschäftsgang bzw. die wirtschaftliche Überlebensfähigkeit des Hotelbetreibers zu gefährden beginne. Müsste der von der Vorinstanz ermittelte Zins bezahlt werden, entstehe ein erhebliches Risiko, dass dieser Zins bereits nach kurzer Zeit gar nicht mehr bezahlt werden könnte. Die Planung des Hotels A._______ sei in den Jahren 2008 und 2009 erfolgt und zwar im stark nachgefragten 4-Stern-Segment. Der Pachtvertrag zwischen der Beschwerdeführerin und der Z._______ AG (sowie zwischen der Y._______ B.V. und der Z._______ AG) sei Anfang Dezember 2011 unterzeichnet worden. Damals sei von einem Wachstum bei den Logiernächten und stabilen Preisen ausgegangen worden. In den Jahren 2010/2011 habe aber die Wirtschafts- und Währungskrise eingesetzt. Die Aufhebung des Euro-Mindestkurses durch die Nationalbank Anfang 2015 habe zudem ausländische Gäste ferngehalten. Die Logiernächte seien zurückgegangen. Weiter würden die Winter kürzer und die Skiferien seien in der Schweiz ohnehin auf wenige Wochen verteilt. Aufgrund eines neuen Gesamtarbeitsvertrages aus dem Jahr 2010 seien die Lohnkosten in der Hotellerie seit 2012 bis zu 16 % gestiegen. Das Hotel A._______ habe sich nicht wie geplant entwickeln können. Die Beschwerdeführerin zieht einen Vergleich mit der Gewerbestatistik des Schweizerischen Gewerbeverbandes. Der von der Vorinstanz berechnete Pachtzins würde zudem rund 30 % des Umsatzes der Z._______ AG ausmachen, was weit über dem Branchendurchschnitt liege. Das Betriebsergebnis der Z._______ AG würde, wenn dieser Pachtzins gezahlt werden müsste, weit unter den Branchendurchschnitt fallen. Im Jahrbuch der Schweizer Hotellerie würde zudem unter der Rubrik «Best Practice ERFA-Gruppen» ein Hotel-Benchmark veröffentlicht. Zwar könne kein absoluter Vergleich angestellt werden, aber es könne auch in diesem Fall festgestellt werden, dass die Rentabilität des Hotels A._______ (beim derzeit gezahlten Pachtzins) vergleichbar sei. Der Pachtzins liege zwar etwas unter den Ansätzen der Schweizerischen Gesellschaft für Hotelkredite (SGH). Dabei sei aber zu beachten, dass die SGH diese Werte zur Bestimmung der Tragbarkeit für eine Kreditvergabe berechnen würde und es sich nicht um eine konkrete Situation handle. Das Hotelgewerbe in der Schweiz und im Kanton E._______ kämpfe zunehmend mit finanziellen Schwierigkeiten. Verschiedene Hotels hätten daher auch Konkurs anmelden müssen. Da Banken mit der Finanzierung von Hotels sehr zurückhaltend seien, unterstützen der Bund und die Kantone den Tourismussektor beispielsweise mit der Vergabe von günstigen Darlehen. Viele Hotels in der Schweiz könnten nur noch dank kräftiger finanzieller Unterstützung von Investoren überleben. An dieses Risikokapital könnten deshalb keine Renditeerwartungen geknüpft werden. Die strukturellen und konjunkturellen Herausforderungen seien derart gravierend, dass sie auch die Renditeerwartung eines unabhängigen Dritten beeinflussen würden. Zudem befinde sich das Unternehmen in der Aufbauphase, weshalb die Renditeerwartung nochmals zu senken sei. Bei neu eröffneten Unternehmen sei es durchaus üblich, dass der Verpächter den Pachtzins reduziere, wenn der Pächter aus wirtschaftlichen Gründen noch nicht in der Lage sei, den vereinbarten Pachtzins zu bezahlen. Für die Beschwerdeführerin stehe mit der Investition eine langfristige Vermögensanlage im Vordergrund mit der Hoffnung auf eine langfristige Werterhaltung und Wertsteigerung. Für die Werterhaltung und Wertsteigerung von Immobilien sei von entscheidender Bedeutung, dass diese genützt würden. Auch die Reputation sei dafür von grosser Bedeutung, was voraussetze, dass das Hotel betrieben und die Liegenschaft genutzt werden könnte. Das finanzielle Risiko sei geringer, wenn der Pachtzins auf ein vom Hotel A._______ erwirtschaftbares Niveau reduziert werde, als wenn der Betrieb aufgegeben werden müsste. Nebst dem Mietausfall müsste in diesem Fall bereits alleine aufgrund des Reputationsschadens ein Wertverlust auf den Immobilien in Kauf genommen werden. Die Liegenschaft liesse sich auch kaum anderweitig nutzen. Müsse mittels Drittvergleich der Wert gegenseitiger Leistungen sich nahestehender Personen ermittelt werden, seien nicht nur innerbetriebliche Kennzahlen beizuziehen, sondern auch externe Branchenvergleiche oder statistische Erhebungen hilfsweise zu berücksichtigen. Mitwirkungshandlungen der Steuerpflichtigen müssten zudem nicht nur geeignet sein, den rechtserheblichen Sachverhalt abzuklären, sondern auch notwendig und zumutbar. Die von ihr (der Beschwerdeführerin) genannten Vergleichswerte stellten die aussagekräftigsten, öffentlich zugänglichen Vergleichswerte dar. Weshalb diese Vergleichszahlen nicht einmal ansatzweise zwecks Plausibilisierung des von der Vorinstanz berechneten Pachtzinses berücksichtigt worden seien, könne nicht nachvollzogen werden. Erst aufgrund des Einspracheentscheides habe sie (die Beschwerdeführerin) sich gezwungen gesehen, mit den von der Vorinstanz kritisierten Vorbringen und eigenen Berechnungen an das Bundesverwaltungsgericht zu gelangen. Zudem habe sie bereits in der Einsprache Einwände gegen die Berechnungsmethode vorgebracht. Die von der Vorinstanz gewählte Methode könne nicht mit dem Grundsatz der Besteuerung nach der wirtschaftlichen Leistungsfähigkeit in Einklang gebracht werden. Aufgrund der genannten Drittvergleiche (Branchenstatistik, Jahrbuch der Hotellerie, Ansätze der SGH) könne festgestellt werden, dass der zwischen ihr (der Beschwerdeführerin) und der Z._______ AG vereinbarte bzw. der entrichtete Mindestpachtzins einem Drittvergleich standhalte. Im Übrigen kritisiert die Beschwerdeführerin die Abschreibungsmethode, welche die Vorinstanz anwendet, die kalkulatorischen Kapitalkosten sowie den Gewinnzuschlag von 10 %.</w:t>
      </w:r>
    </w:p>
    <w:p>
      <w:r>
        <w:rPr>
          <w:b/>
        </w:rPr>
        <w:t>E. 3.3</w:t>
      </w:r>
    </w:p>
    <w:p>
      <w:r>
        <w:t>Nun ist - wie erwähnt - zunächst zu klären, ob die von der Z._______ AG der Beschwerdeführerin als Entgelt für die Verpachtung des Hotels A._______ bezahlten Pachtzinsen marktkonform sind oder nicht.</w:t>
      </w:r>
    </w:p>
    <w:p>
      <w:r>
        <w:rPr>
          <w:b/>
        </w:rPr>
        <w:t>E. 3.3.1</w:t>
      </w:r>
    </w:p>
    <w:p>
      <w:r>
        <w:t>Vorwegzunehmen ist, dass die Beschwerdeführerin nur anerkannt hat, dass es sich bei ihr und der Z._______ AG um nahestehende Personen handelt und dass daher das Entgelt für Leistungen zwischen diesen Personen einem Drittvergleich standhalten muss. Hingegen ist sie im Gegensatz zur Vorinstanz der Meinung, dass der vereinbarte bzw. entrichtete Pachtzins einem solchen Drittvergleich standhält.</w:t>
      </w:r>
    </w:p>
    <w:p>
      <w:r>
        <w:rPr>
          <w:b/>
        </w:rPr>
        <w:t>E. 3.3.2</w:t>
      </w:r>
    </w:p>
    <w:p>
      <w:r>
        <w:t>Wie festgehalten (E. 3.2) bestreitet die Beschwerdeführerin die von der Vorinstanz aufgezählten Gründe, warum diese die Pachtzinsen nicht für drittvergleichskonform hält, nicht kategorisch. Sie kritisiert aber insbesondere, die Vorinstanz habe das Marktumfeld zu wenig berücksichtigt. In diesem könnten keine höheren Pachtzinsen erzielt werden. Daher würden die von der Z._______ AG bezahlten Pachtzinsen einem Drittvergleich standhalten.</w:t>
      </w:r>
    </w:p>
    <w:p>
      <w:r>
        <w:rPr>
          <w:b/>
        </w:rPr>
        <w:t>E. 3.3.3</w:t>
      </w:r>
    </w:p>
    <w:p>
      <w:r>
        <w:t>Es geht also im Folgenden darum, ob zwischen unabhängigen Drittpersonen höhere Pachtzinsen für die Verpachtung der Liegenschaft, auf der das Hotel A._______ steht, vereinbart und bezahlt worden wären. Dies wird im Folgenden anhand der Argumente der Vorinstanz und der Gegenargumente der Beschwerdeführerin analysiert.</w:t>
      </w:r>
    </w:p>
    <w:p>
      <w:r>
        <w:rPr>
          <w:b/>
        </w:rPr>
        <w:t>E. 3.3.3.1</w:t>
      </w:r>
    </w:p>
    <w:p>
      <w:r>
        <w:t>Die Vorinstanz erklärt zunächst, für die Beschwerdeführerin resultierten aus der Verpachtung Verluste (E. 3.1). Weiter hält sie fest, es könnten nicht einmal die Gebäudekosten aus den Pachtzinsen gedeckt werden. Die Beschwerdeführerin bestreitet dies nicht grundsätzlich, hält aber dagegen, es könne kein höherer Pachtzins erzielt werden; ausserdem befinde sich das Hotel in der Aufbauphase und es werde langfristig geplant. Unabhängig von der gesamtwirtschaftlichen Lage stellt sich die Frage, warum eine unabhängige Drittperson in ein Objekt investieren würde, aus dem für sie Verluste resultieren. Die Beschwerdeführerin versucht mittels diverser Dokumente zu belegen, dass sich die Hotelleriebranche in einer schwierigen Lage befindet (es ist gar von einem beginnenden Marktversagen die Rede), weshalb es schwierig sei, Investoren zu finden. Diese Argumentation unterstreicht jedoch zusätzlich, dass die vorliegende Investition wirtschaftlich gesehen nicht auf den ersten Blick einleuchtet. Nicht von der Hand zu weisen ist in diesem Kontext jedoch das Argument der Beschwerdeführerin, dass sich das Hotel in der Aufbauphase befinde und daher Pachtzinsen reduziert würden, um den Aufbau nicht zu gefährden. Allerdings spricht die Beschwerdeführerin nur von einer langfristigen Planung, ohne dies genauer zu erläutern. Sie tut dies unter Hinweis darauf, dass die involvierten Gesellschaften letztlich von einer Stiftung (der Stichting B._______) gehalten würden und Stiftungen langfristige Anlagen hielten. Letzteres Argument untergräbt die Beschwerdeführerin jedoch gleich selbst, indem sie ebenfalls ausführt, für die Familie von A.D._______, der die Stiftung halte, sei das Hotel eine Herzensangelegenheit (B.D._______ ist Mitglied des Verwaltungsrats der Z._______ AG; Sachverhalt Bst. A); die Familie fühle sich mit [Ort in der Schweiz, an dem sich das Hotel A._______ befindet] verbunden. Demnach scheinen weniger wirtschaftliche als vielmehr persönliche Überlegungen dafür verantwortlich zu sein, dass das Hotel weiterbestehen kann. Daraus erhellt, dass der Aufbau und die Finanzierung des Hotels weniger rein marktwirtschaftlichen Gegebenheiten folgen als vielmehr dem persönlichen Wunsch der hinter den Gesellschaften stehenden natürlichen Personen, das Hotel zu erhalten. Insgesamt lässt sich feststellen, dass die Beschwerdeführerin nicht (nur) deshalb zurzeit Verluste in Kauf nimmt, weil sie längerfristig mit Gewinnen rechnet, sondern (auch), weil die Führung des Hotels ein Anliegen der hinter den Gesellschaften stehenden Familie ist. Auch was die Beschwerdeführerin zum Cashflow aus den Pachtzinsen vorbringt, verfängt nicht. Letztlich ist entscheidend, dass offenbar zwar der laufende Unterhalt des Gebäudes sowie der Finanzaufwand mit den Pachtzinsen gedeckt werden kann, andere mit dem Gebäude zusammenhängende Kosten jedoch unbestrittenermassen nicht. Dabei ist auch nicht erheblich, wie die einzelnen Positionen zu verbuchen wären. Die Beschwerdeführerin dringt mit diesen Argumenten nicht durch.</w:t>
      </w:r>
    </w:p>
    <w:p>
      <w:r>
        <w:rPr>
          <w:b/>
        </w:rPr>
        <w:t>E. 3.3.3.2</w:t>
      </w:r>
    </w:p>
    <w:p>
      <w:r>
        <w:t>Der Pachtzins liegt deutlich unter dem amtlichen Mietwert. Konkret hat der kantonale Schätzungsbezirk [...] des Kantons E._______ am 28. Juni 2013 einen Mietwert von jährlich Fr. 1'310'100.-- für die Liegenschaft der Beschwerdeführerin ermittelt, während der tatsächlich bezahlte Pachtzins in den hier relevanten Jahren je Fr. 500'000.-- betrug. Die Beschwerdeführerin bringt zwar vor, es handle sich beim amtlichen Mietwert um eine grobe Schätzung, da damals noch keine verlässliche Jahresrechnung vorgelegen habe. Selbst wenn dies aber der Fall sein sollte - obwohl das Hotel bereits im Jahr 2012 eröffnet worden war - ist festzuhalten, dass die amtliche Schätzung sorgfältig und in Bezug auf das konkrete Objekt und damit durch die Behörde sachgerecht vorzunehmen ist. Zudem fällt die Schätzung rund 2.6 mal so hoch aus wie der vereinnahmte Zins, was keine geringe Abweichung mehr darstellt. Mit allgemeinen Vorbringen zur angeblichen Ungenauigkeit der amtlichen Schätzung gelingt es der Beschwerdeführerin jedenfalls nicht, an der Angemessenheit dieser Schätzung Zweifel zu erwecken.</w:t>
      </w:r>
    </w:p>
    <w:p>
      <w:r>
        <w:rPr>
          <w:b/>
        </w:rPr>
        <w:t>E. 3.3.3.3</w:t>
      </w:r>
    </w:p>
    <w:p>
      <w:r>
        <w:t>Weiter wurde selbst der vereinbarte Pachtzins unterschritten. Die Beschwerdeführerin, die Y._______ B.V. und die Z._______ AG hatten im Dezember 2011 vereinbart, dass ab dem 1. Juli 2012 ein Pachtzins von 10 % des Umsatzes, mindestens jedoch ein solcher von Fr. 750'000.-- (für die gesamte Anlage) zu entrichten sei. Tatsächlich wurde jedoch lediglich der Mindestzins (welcher für die Beschwerdeführerin Fr. 500'000.--, für die Y._______ B.V. Fr. 250'000.-- beträgt) bezahlt, nicht jedoch der vereinbarte Umsatzpachtzins. Dieser hätte gemäss der Beschwerdeführerin (für die gesamte Anlage, also an die Beschwerdeführerin und die Y._______ B.V. zusammen) im Geschäftsjahr 2011/2012 Fr. 1'006'900.--, im Geschäftsjahr 2012/2013 Fr. 1'046'940.--, im Geschäftsjahr 2013/2014 Fr. 1'068'030.-- und im Geschäftsjahr 2014/2015 Fr. 1'029'602.-- betragen sollen. Es ist wirtschaftlich gesehen nicht nachvollziehbar, dass die Beschwerdeführerin nicht zumindest den vereinbarten Pachtzins einverlangte, sondern sich mit dem niedrigeren, nur subsidiär vereinbarten Mindestzins zufriedengab. Dieser Umstand ist noch weniger nachvollziehbar, wenn berücksichtigt wird, dass im Dezember 2011, als der Pachtvertrag abgeschlossen wurde, die Finanz- und Währungskrise nicht nur absehbar, sondern bereits im Gang war, so dass zumindest angenommen werden musste, dass auch der Hotelleriebereich betroffen werden würde. Dieses konkrete Marktumfeld hätten die Vertragsparteien bei der Aushandlung des Vertrages bereits berücksichtigen müssen, wollte man der Argumentation der Beschwerdeführerin folgen. Im Übrigen wurde im Rahmen des Vertrages dem Umstand, dass sich das Hotel in der Anfangsphase befand, tatsächlich Rechnung getragen und für den Zeitraum vom 1. Dezember 2011 bis zum 30. Juni 2012 ein günstigerer Zins vereinbart. Offensichtlich gingen die Parteien jedoch trotz der finanz- und marktwirtschaftlichen Situation davon aus, dass die Z._______ AG mindestens einen Pachtzins von insgesamt Fr. 750'000.-- zu bezahlen in der Lage war, wobei mit einem höheren Umsatzpachtzins gerechnet wurde. Die Aufhebung des Mindestumwandlungskurses CHF-EUR, den die Beschwerdeführerin ebenfalls für die rückläufigen Übernachtungen anführt, fand Anfang 2015 statt - wie sie selbst festhält - und betrifft somit nicht die vorliegend relevanten Jahre 2012 bis 2014. Ebenfalls war die Länge und Verteilung der Skiferien bekannt. Der von der Beschwerdeführerin genannte Gesamtarbeitsvertrag für das Personal stammt aus dem Jahr 2010 und war somit beim Abschluss des Pachtvertrags Ende 2011 bekannt. Auf diese Argumente ist nicht weiter einzugehen. Zudem beschreibt die Beschwerdeführerin allgemein ein schwieriges Marktumfeld, ohne aufzuzeigen, welche Auswirkungen dieses Umfeld konkret auf das von der Z._______ AG betriebene Hotel A._______ hat. Der Umstand alleine, dass das Hotel nicht rentabel wäre, wenn es höhere Pachtzinsen bezahlen müsste, spricht nicht dagegen, dass ein unabhängiger Investor dennoch einen höheren oder zumindest den vereinbarten Pachtzins einfordern würde.</w:t>
      </w:r>
    </w:p>
    <w:p>
      <w:r>
        <w:rPr>
          <w:b/>
        </w:rPr>
        <w:t>E. 3.3.4</w:t>
      </w:r>
    </w:p>
    <w:p>
      <w:r>
        <w:t>Insgesamt kann festgehalten werden, dass die Argumente der Beschwerdeführerin nichts daran zu ändern vermögen, dass der Pachtzins, den die Z._______ AG bezahlte, aus den von der Vorinstanz genannten Gründen einem Drittvergleich nicht standhält. Die Vorinstanz war somit berechtigt und verpflichtet, den Pachtzins nach pflichtgemässem Ermessen zu schätzen (E. 2.2.5). Auf weitere Argumente der Beschwerdeführerin ist weiter unten einzugehen.</w:t>
      </w:r>
    </w:p>
    <w:p>
      <w:r>
        <w:rPr>
          <w:b/>
        </w:rPr>
        <w:t>E. 3.4</w:t>
      </w:r>
    </w:p>
    <w:p>
      <w:r>
        <w:t>Als nächstes ist - mit der gebotenen Zurückhaltung - zu prüfen, ob die Vorinstanz ihr Ermessen pflichtgemäss ausgeübt hat (E. 2.2.5).</w:t>
      </w:r>
    </w:p>
    <w:p>
      <w:r>
        <w:rPr>
          <w:b/>
        </w:rPr>
        <w:t>E. 3.4.1</w:t>
      </w:r>
    </w:p>
    <w:p>
      <w:r>
        <w:t>Die Vorinstanz ist von der Baukostenrechnung, also den getätigten Investitionen, ausgegangen und hat diese dann anhand der Praxisfestlegungen der kantonalen Steuerverwaltung (konkret der Praxisfestlegung der Steuerverwaltung E._______ «Abschreibungen und Rückstellungen»; diese Praxisfestlegung ist jeweils der Wegleitung zur Steuererklärung angehängt) und der (vom Hauseigentümerverband und dem Mieterinnen- und Mieterverband erarbeiteten) paritätischen Lebensdauertabelle für Mietwohnungen kapitalisiert, die Kapital- und Unterhaltskosten darauf geschlagen und noch einen Gemeinkostenzuschlag von 10 % der Kapital- und Unterhaltskosten erhoben. So hat sie einen Pachtzins von Fr. 1'724'546.65 pro Jahr errechnet.</w:t>
      </w:r>
    </w:p>
    <w:p>
      <w:r>
        <w:rPr>
          <w:b/>
        </w:rPr>
        <w:t>E. 3.4.2</w:t>
      </w:r>
    </w:p>
    <w:p>
      <w:r>
        <w:t>Zumindest dem Grundsatz nach (s. aber E. 3.5.6 und 3.7) erscheint diese Vorgehensweise der Vorinstanz sachgerecht. Sie bezieht sich auf das konkrete Pachtobjekt und geht davon aus, dass ein Investor die mit dem verpachteten Gebäude und Grundstück zusammenhängenden Kosten nach einer gewissen Zeit gedeckt haben möchte. Die lokalen Gegebenheiten hat sie dadurch berücksichtigt, dass sie sich auf die Praxisfestlegungen des Kantons E._______ gestützt hat. Die Vorinstanz war somit in der Lage, für das konkrete Pachtobjekt einen Pachtzins zu berechnen, der von einem Investor verlangt würde, der aus seiner Investition nach mehreren Jahren Gewinne erzielen möchte. Sie hat dabei eine Methode angewendet, die der sog. «Cost Plus» Methode angelehnt ist, bei der von den verbuchten Kosten ausgegangen wird und darauf ein Gewinnzuschlag berechnet wird (vgl. Bossart/Clavadetscher, a.a.O., Art. 24 N. 61; vgl. Urteil des BVGer A-5059/2014 vom 26. Februar 2015 E. 5.1.3). Die «Anschaffungskosten», also die Kosten für die Erstellung des Gebäudes, hat sie dabei mittels Abschreibungssätzen über mehrere Jahre verteilt. Insofern war es nicht notwendig, dass sich die Vorinstanz auf die regelmässig unpräziseren Erfahrungszahlen, welche sie erarbeitet, oder andere Vergleichswerte stützte. Dass die Vorinstanz dabei einen Gewinnzuschlag in die Berechnung mit einbezogen hat, ist nicht zu beanstanden. Dieser Ansatz geht davon aus, dass ein Investor nicht nur seine Investitionskosten sowie die laufenden Kosten decken möchte, sondern mit dem Investitionsobjekt auch einen angemessenen Gewinn erzielen will. Die Methode wurde von der Rechtsprechung grundsätzlich bestätigt (E. 2.2.4). Dass dies - wie die Beschwerdeführerin ausführt - in Bezug auf andere Sachverhalte geschah, ändert nichts daran, dass die Methode als solche zulässig ist und im vorliegenden Fall nichts gegen ihre Anwendung spricht, zumal die Beschwerdeführerin selbst in ihren Rechtsschriften von teils höheren Investitionskosten ausgeht, was zu einem höheren Pachtzins führen müsste, worauf hier indessen nicht weiter einzugehen ist.</w:t>
      </w:r>
    </w:p>
    <w:p>
      <w:r>
        <w:rPr>
          <w:b/>
        </w:rPr>
        <w:t>E. 3.5</w:t>
      </w:r>
    </w:p>
    <w:p>
      <w:r>
        <w:t>Es bleibt damit zu beurteilen, ob es der Beschwerdeführerin in Umkehr der Beweislast nachzuweisen gelingt, dass der Vorinstanz erhebliche Ermessensfehler unterlaufen sind (E. 2.2.5).</w:t>
      </w:r>
    </w:p>
    <w:p>
      <w:r>
        <w:rPr>
          <w:b/>
        </w:rPr>
        <w:t>E. 3.5.1</w:t>
      </w:r>
    </w:p>
    <w:p>
      <w:r>
        <w:t>Die Beschwerdeführerin nennt, wie schon erwähnt, das Marktumfeld. Zudem macht sie geltend, die Ermessenseinschätzung habe sich nicht nur nach der Baukostenrechnung richten dürfen. Weiter kritisiert sie die Art, wie die Vorinstanz Abschreibungen vorgenommen hat. Dies führe dazu, dass das Hotel nach 18 Jahren nichts mehr wert sei, was nicht sein könne.</w:t>
      </w:r>
    </w:p>
    <w:p>
      <w:r>
        <w:rPr>
          <w:b/>
        </w:rPr>
        <w:t>E. 3.5.2</w:t>
      </w:r>
    </w:p>
    <w:p>
      <w:r>
        <w:t>Wie bereits zuvor erwähnt (E. 3.3.3.3 am Ende) zeigt die Beschwerdeführerin insbesondere nicht auf, wie sich das Marktumfeld konkret auf das Hotel A._______ ausgewirkt hat. Sie hat auch kaum entsprechende Unterlagen eingereicht. Immerhin kann festgehalten werden, dass der Umsatz gemäss ihren Angaben in der Beschwerde (dort S. 28) in den relevanten Perioden nicht wesentlich eingebrochen ist (Geschäftsjahr 2011/2012 Fr. 10'069'001.--, Geschäftsjahr 2012/2013 Fr. 10'469'395.--, Geschäftsjahr 2013/2014 Fr. 10'680'296.-- und Geschäftsjahr 2014/2015 Fr. 10'296'024.--; wobei die Kalenderjahre 2011 und 2015 vorliegend nicht relevant sind). Zwar sagt der Umsatz alleine noch nicht sehr viel darüber aus, wie es einem Unternehmen wirtschaftlich tatsächlich geht, andere Zahlen hat die Beschwerdeführerin aber nicht eingereicht und es ist hier zudem wesentlich, dass im Pachtvertrag ein vom Umsatz abhängiger Pachtzins vereinbart wurde, weshalb dieser Grösse vorliegend besonderes Gewicht zukommt.</w:t>
      </w:r>
    </w:p>
    <w:p>
      <w:r>
        <w:rPr>
          <w:b/>
        </w:rPr>
        <w:t>E. 3.5.3</w:t>
      </w:r>
    </w:p>
    <w:p>
      <w:r>
        <w:t>Ohnehin übersieht die Beschwerdeführerin - wie bereits erwähnt (E. 3.4.2) -, dass die Vorinstanz eine Methode angewendet hat, die sich am konkreten Objekt, nämlich dem Hotel A._______, orientiert. Diese Methode ist genauer als ein Vergleich mit anderen Hotels, zumal es sich bei den von der Beschwerdeführerin dargestellten Vergleichswerten (Branchenstatistik, Jahrbuch der Hotellerie und Ansätzen der SGH) um Durchschnittswerte handelt. Von diesen kann ein konkreter Fall stark abweichen. Oft ist diese Ungenauigkeit hinzunehmen, weil eine konkrete Berechnung nicht möglich ist. Dies ist vorliegend gerade nicht der Fall. Das von der Beschwerdeführerin genannte - und von ihr ungenügend substantiierte (E. 3.5.2) - wirtschaftliche Umfeld, ist daher im vorliegenden Fall nicht weiter zu berücksichtigen.</w:t>
      </w:r>
    </w:p>
    <w:p>
      <w:r>
        <w:rPr>
          <w:b/>
        </w:rPr>
        <w:t>E. 3.5.4</w:t>
      </w:r>
    </w:p>
    <w:p>
      <w:r>
        <w:t>Zur Abschreibungsmethode, welche die Vorinstanz angewendet hat, ist festzuhalten, dass diese gemäss unbestrittener Darstellung anhand der Praxisfestlegungen der kantonalen Steuerverwaltung des Kantons E._______ und der paritätischen Lebensdauertabelle für Mietwohnungen vorgenommen wurde. Die Beschwerdeführerin bringt dagegen einerseits vor, sie habe bauseits hochwertige Materialien verwendet, die eine längere Nutzungsdauer aufwiesen, weshalb die Abschreibungen zu hoch seien. Andererseits seien auch die Abschreibungen auf der Liegenschaft als solcher zu hoch, wäre doch so das Hotel nach 18 Jahren vollständig abgeschrieben, obwohl es unbestrittenermassen auch dann noch über einen Wert verfüge.</w:t>
      </w:r>
    </w:p>
    <w:p>
      <w:r>
        <w:rPr>
          <w:b/>
        </w:rPr>
        <w:t>E. 3.5.5</w:t>
      </w:r>
    </w:p>
    <w:p>
      <w:r>
        <w:t>Dem ersten Argument ist entgegenzuhalten, dass die Lebensdauertabelle für Mietwohnungen der Qualität des Materials durchaus Rechnung tragen. Die Qualität darf daher als bei der Berechnung der Vorinstanz mitberücksichtigt gelten. Im Übrigen begnügt sich die Beschwerdeführerin auch hier mit allgemeinen Ausführungen und Behauptungen. Zum zweiten Argument ist festzuhalten, dass diese Art der Berechnung dem Umstand Rechnung trägt, dass ein Vermieter oder Verpächter nach einem gewissen Zeitablauf seine Investitionen vollständig ersetzt haben möchte. Selbst ein Zeithorizont von 18 Jahren erscheint dabei nicht aus der Luft gegriffen, wie die Beschwerdeführerin vorzugeben versucht. Ohnehin hat aber die Vorinstanz in Bezug auf das Gebäude und direkt mit diesem verbundene Einrichtungen einen Abschreibungssatz von 4 % angewandt, was dazu führt, dass dieses nicht nach 18, sondern (da für die Pachtzinsberechnung linear abgeschrieben wird) erst nach 25 Jahren abgeschrieben wäre.</w:t>
      </w:r>
    </w:p>
    <w:p>
      <w:r>
        <w:rPr>
          <w:b/>
        </w:rPr>
        <w:t>E. 3.5.6</w:t>
      </w:r>
    </w:p>
    <w:p>
      <w:r>
        <w:t>Auf ein konkretes Argument der Beschwerdeführerin ist in diesem Zusammenhang jedoch noch einzugehen. Sie macht nämlich geltend, für Abschreibungen, die mit dem Gebäude im Zusammenhang stehen, sei gemäss der genannten und durch die Vorinstanz angewendeten Praxisfestlegung ein Abschreibungssatz von 3 % anzuwenden und nicht 4 %, wie die Vorinstanz geltend mache. Die Vorinstanz scheint hier den Abschreibungssatz von 4 % zu wählen, welcher bei Gebäuden des Gastwirtschaftsgewerbes und der Hotellerie auf Gebäude und Land zusammen angewendet wird. Demgegenüber möchte die Beschwerdeführerin den Abschreibungssatz für Gebäude allein angewendet haben (weil der Boden nicht abgeschrieben wird), welcher grundsätzlich 6 % betragen würde. Gemäss Ziff. 1.1 Bst. c der Praxisfestlegung sind jedoch die Abschreibungssätze um die Hälfte zu reduzieren (hier ausmachend also 3 %), wenn sie nicht vom Buch-, sondern vom Anschaffungswert ausgehen. Die Vorinstanz schreibt zwar, sie sei von der Buchhaltung ausgegangen, was eher für den Buchwert spricht. Auf den Beiblättern zur Einschätzungsmitteilung steht hingegen «Kalkulatorische Mietzinsberechnung anhand der getätigten Investitionen», was auf den Anschaffungswert hindeutet. Auch ist in den Rechtsschriften der Vorinstanz von der «Bauabrechnung» und «Investitionen» die Rede, was ebenfalls für den Anschaffungswert spricht. Insgesamt ergibt sich somit, dass die Vorinstanz vom Anschaffungswert ausgegangen ist. Auch listet die Vorinstanz dem Gebäude (und nicht dem Boden) zuzurechnende Kosten auf, weshalb es sich rechtfertigt, für die vorliegende Konstellation den Abschreibungssatz, der für Gebäude allein gilt, zugrunde zu legen. Damit ist, wie von der Beschwerdeführerin beantragt, auf alle Kosten, die mit dem Bau im Zusammenhang stehen, ein Abschreibungssatz von 3 % anzuwenden.</w:t>
      </w:r>
    </w:p>
    <w:p>
      <w:r>
        <w:rPr>
          <w:b/>
        </w:rPr>
        <w:t>E. 3.5.7</w:t>
      </w:r>
    </w:p>
    <w:p>
      <w:r>
        <w:t>Die ferner beanstandeten Kapitalkosten hat die Vorinstanz - soweit ersichtlich - direkt aus den Buchhaltungsdaten der Beschwerdeführerin entnommen; jedenfalls verweist sie auf die entsprechenden Konten der Buchhaltung. Hätte die Vorinstanz, wie von der Beschwerdeführerin behauptet, den von Letzterer genannten Zinssatz von 1.5 % auf der gesamten Investitionssumme angewendet, müsste dieser zudem jedes Jahr gleich hoch sein, was nicht der Fall ist. Dies scheint zwar so, weil die Vorinstanz für die Pachtzinsberechnung den Durchschnittswert der Kapitalkosten während der relevanten Jahre zugrunde gelegt hat; tatsächlich ist sie aber von unterschiedlichen Kapitalkosten für jedes Jahr ausgegangen. Der von der Beschwerdeführerin genannte Zinssatz läge im Übrigen ohnehin im Bereich jener Zinssätze, die die Vorinstanz in ihren Rundschreiben zur Direkten Bundessteuer und zur Verrechnungssteuer festgelegt hat. Die Beschwerdeführerin erwähnt zwar sinkende bzw. gar Negativzinsen. Dazu ist jedoch festzuhalten, dass die Nationalbank erstmals im Dezember 2014 und damit erst ganz am Ende der vorliegend relevanten Zeitperiode Negativzinsen einführte. Insgesamt sind entgegen der Auffassung der Beschwerdeführerin die errechneten Kapitalkosten nicht zu beanstanden.</w:t>
      </w:r>
    </w:p>
    <w:p>
      <w:r>
        <w:rPr>
          <w:b/>
        </w:rPr>
        <w:t>E. 3.5.8</w:t>
      </w:r>
    </w:p>
    <w:p>
      <w:r>
        <w:t>Schliesslich kritisiert die Beschwerdeführerin, dass die Vorinstanz einen Gewinnzuschlag von 10 % auf den Kapital- und Unterhaltskosten aufgerechnet hat. Eine solche Aufrechnung entspricht der so genannten «Cost Plus» Methode, welche, wie die Vorinstanz zu Recht festhält, verschiedentlich von der Rechtsprechung bestätigt wurde (E. 2.2.4 und 3.4.2). Zwar ist der Beschwerdeführerin zuzustimmen, dass sich der Sachverhalt von den von der Vorinstanz genannten Urteilen unterscheidet. Das ändert aber nichts daran, dass die Methode als solche und deren Anwendung im vorliegenden Fall nicht zu beanstanden ist. Die pauschalen Vorbringen und Behauptungen der Beschwerdeführerin genügen auf dritter Stufe (E. 2.2.5) nicht zum Nachweis der Rechtswidrigkeit der vorinstanzlichen Vorgehensweise. Damit ist der genannte Gewinnzuschlag zu stützen.</w:t>
      </w:r>
    </w:p>
    <w:p>
      <w:r>
        <w:rPr>
          <w:b/>
        </w:rPr>
        <w:t>E. 3.6</w:t>
      </w:r>
    </w:p>
    <w:p>
      <w:r>
        <w:t>Dass die Beschwerdeführerin Verzugszinsen schuldet und wie diese zu berechnen sind, ist nicht umstritten. Die Vorinstanz hat in der angefochtenen Verfügung keinen konkreten Betrag festgesetzt, sondern lediglich die Berechnungsweise festgehalten. Diesbezüglich ist die vorinstanzliche Verfügung nicht zu korrigieren.</w:t>
      </w:r>
    </w:p>
    <w:p>
      <w:r>
        <w:rPr>
          <w:b/>
        </w:rPr>
        <w:t>E. 3.7</w:t>
      </w:r>
    </w:p>
    <w:p>
      <w:r>
        <w:t>Nach dem Gesagten ist die Berechnung der Vorinstanz einzig in Bezug auf die Abschreibung auf den Gebäudekosten insofern zu korrigieren, als ein Abschreibungssatz von 3 % statt 4 % anzuwenden ist. Das führt dazu, dass der Gewinnkostenzuschlag von 10 % aufgrund der neuen Zahlen zu korrigieren ist. Insgesamt ergibt sich so ein kalkulierter Pachtzins von Fr. 1'634'175.85 pro Jahr (statt Fr. 1'724'546.65; siehe detaillierte Rechnung im Anhang [in der anonymisierten Version dieses Urteils nicht enthalten]). Die Vorinstanz hat somit einen Pachtzins zugrunde gelegt, der sich jährlich (gerundet) als um Fr. 90'370.-- (Fr. 1'724'546.65 - Fr. 1'634'175.85) zu hoch erweist, womit sie die Mehrwertsteuer in den Jahren 2012 bis und mit 2014 jährlich um Fr. 7'230.-- (8 % von Fr. 90'370.--) zu viel korrigiert hat, also insgesamt um Fr. 21'690.-- über alle drei Jahre. Damit ist die von der Vorinstanz vorgenommene Steuerkorrektur um diese Fr. 21'690.-- zugunsten der Beschwerdeführerin zu korrigieren. Die Beschwerdeführerin hat der Vorinstanz für die Steuerperioden 2010 bis und mit 2014 über die bisherige Selbstdeklaration hinaus Fr. 242'148.-- Mehrwertsteuer zuzüglich 4 % Verzugszins seit dem 30. April 2013 (mittlerer Verfall) zu bezahlen, wobei die vorliegend nicht umstrittenen Vorsteuerabzugskorrekturen aus den Jahren 2010 und 2012 von insgesamt Fr. 606.-- (zulasten der Beschwerdeführerin) in diesem Betrag enthalten sind.</w:t>
      </w:r>
    </w:p>
    <w:p>
      <w:r>
        <w:rPr>
          <w:b/>
        </w:rPr>
        <w:t>E. 4</w:t>
      </w:r>
    </w:p>
    <w:p>
      <w:r>
        <w:t>Damit ist über die Verfahrenskosten (E. 4.2) und die Parteientschädigung (E. 4.3) zu befinden.</w:t>
      </w:r>
    </w:p>
    <w:p>
      <w:r>
        <w:rPr>
          <w:b/>
        </w:rPr>
        <w:t>E. 4.1</w:t>
      </w:r>
    </w:p>
    <w:p>
      <w:r>
        <w:t>Vorab ist jedoch noch festzuhalten, dass der Antrag der Beschwerdeführerin, ihr eine Parteientschädigung für das vorinstanzliche Verfahren zuzusprechen, abzuweisen ist. Die Beschwerdeführerin stützt ihren Antrag auf Art. 84 Abs. 1 MWSTG. Dessen zweiter Satz, der sich mit der Parteientschädigung im Verfügungs- und Einspracheverfahren befasst, lautet aber: «Es werden keine Parteientschädigungen ausgerichtet». Wie die Beschwerdeführerin zum Schluss gelangt, ihr stünde aufgrund dieser Bestimmung eine Parteientschädigung für das Einspracheverfahren zu, ist nicht ersichtlich.</w:t>
      </w:r>
    </w:p>
    <w:p>
      <w:r>
        <w:rPr>
          <w:b/>
        </w:rPr>
        <w:t>E. 4.2</w:t>
      </w:r>
    </w:p>
    <w:p>
      <w:r>
        <w:t>Die teilweise obsiegende Beschwerdeführerin hat gestützt auf Art. 63 Abs. 1 VwVG die Verfahrenskosten nur teilweise zu tragen. Die Vorinstanz macht zwar geltend, die Beschwerdeführerin habe (auch) ihre Mitwirkungspflicht verletzt. Eine allfällige Verletzung dieser Pflicht bleibt indessen hier ohne Folgen, weil die teilweise Gutheissung einzig aus einer unvollständigen Anwendung der Praxisfestlegung durch die Vorinstanz resultiert. Die Beschwerdeführerin hat die von der Vorinstanz vorgenommenen Korrekturen im Umfang von Fr. 263'232.25 bestritten. Sie obsiegt im Umfang von Fr. 21'690.--, also zu knapp 10 %. Damit sind ihr die auf Fr. 7'000.-- festzusetzenden Verfahrenskosten (Art. 1, 2 und 4 des Reglements vom 21. Februar 2008 über die Kosten und Entschädigungen vor dem Bundesverwaltungsgericht [VGKE, SR 173.320.2]) im Umfang von 90 %, also Fr. 6'300.-- aufzuerlegen. Dieser Betrag ist dem von der Beschwerdeführerin einbezahlten Kostenvorschuss von Fr. 7'000.-- zu entnehmen. Der Restbetrag von Fr. 700.-- ist ihr nach Eintritt der Rechtskraft des vorliegenden Urteils zurückzuerstatten.</w:t>
      </w:r>
    </w:p>
    <w:p>
      <w:r>
        <w:rPr>
          <w:b/>
        </w:rPr>
        <w:t>E. 4.3.1</w:t>
      </w:r>
    </w:p>
    <w:p>
      <w:r>
        <w:t>Die teilweise obsiegende, vertretene Beschwerdeführerin hat gemäss Art. 64 Abs. 1 und Abs. 2 VwVG i.V.m. Art. 7 ff. VGKE Anspruch auf eine Parteientschädigung zulasten der Vorinstanz. Sofern eine detaillierte Kostennote eingereicht wurde, setzt das Gericht die Parteientschädigung anhand dieser fest (Art. 14 VGKE). Die Parteientschädigung hat nicht jeden erdenklichen, sondern nur den notwendigen Aufwand zu ersetzen (Art. 7 Abs. 1 und 10 Abs. 1 VGKE). Unnötiger Aufwand wird nicht entschädigt (Art. 8 Abs. 2 VGKE).</w:t>
      </w:r>
    </w:p>
    <w:p>
      <w:r>
        <w:rPr>
          <w:b/>
        </w:rPr>
        <w:t>E. 4.3.2</w:t>
      </w:r>
    </w:p>
    <w:p>
      <w:r>
        <w:t>Die Beschwerdeführerin hat für die drei konnexen Verfahren A-2490/2020, A-2495/2020 und A-2496/2020 eine gemeinsame Kostennote über insgesamt Fr. 29'299.90 zuzüglich Kleinspesenpauschale und Mehrwertsteuer eingereicht. Nicht zu entschädigen ist von Vornherein die Mehrwertsteuer, da die Beschwerdeführerin als mehrwertsteuerpflichtige Person diese als Vorsteuer wieder geltend machen kann. Ebenfalls nicht entschädigt werden nach dem zuvor Ausgeführten die Kosten für das Einspracheverfahren (E. 4.1). Diese betragen Fr. 16'530.-- (Positionen in der Kostennote bis und mit 17. September 2019). Damit verbleiben Kosten von Fr. 12'769.90. Die Kleinspesenpauschale von 3 % ist somit neu auf Fr. 383.-- festzusetzen. Insgesamt ist die Kostennote damit auf Fr. 13'152.90 zu kürzen.</w:t>
      </w:r>
    </w:p>
    <w:p>
      <w:r>
        <w:rPr>
          <w:b/>
        </w:rPr>
        <w:t>E. 4.3.3</w:t>
      </w:r>
    </w:p>
    <w:p>
      <w:r>
        <w:t>Der Kostennote kann nicht entnommen werden, welcher Betrag auf welches Verfahren entfällt. Die Verfahren A-2490/2020 und A-2495/2020 betreffen je dieselbe Rechtsfrage. Das Verfahren A-2496/2020 beschlägt demgegenüber eine völlig andere Frage. Auch ist der Streitwert dort deutlich tiefer. Es rechtfertigt sich hier, die in der Kostennote geltend gemachten Kosten im Verhältnis zu den Streitwerten aufzuteilen. Insgesamt liegen in allen drei Verfahren rund Fr. 518'506.-- im Streit. Auf das vorliegende Verfahren entfallen Fr. 263'232.25 und somit rund 50 %. Es kann also davon ausgegangen werden, dass von den Kosten, die bei vollständigem Obsiegen entschädigt werden könnten, Fr. 6'576.45 auf das vorliegende Verfahren entfallen. Bei einem Obsiegen der Beschwerdeführerin von rund 1/10 ist die Vorinstanz somit zu verpflichten, Ersterer eine reduzierte Parteientschädigung im Umfang von Fr. 660.--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