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A-2474/2014 vom 29. Mai 2015</w:t>
      </w:r>
    </w:p>
    <w:p>
      <w:r>
        <w:t>Bundesverwaltungsgericht, 2015-05-29, DE</w:t>
      </w:r>
    </w:p>
    <w:p>
      <w:r>
        <w:rPr>
          <w:b/>
        </w:rPr>
        <w:t xml:space="preserve">Quelle: </w:t>
      </w:r>
      <w:r>
        <w:t>https://mcp.opencaselaw.ch/entscheid/bvger_A-2474_2014</w:t>
      </w:r>
    </w:p>
    <w:p>
      <w:r>
        <w:t>FR: TAF A-2474/2014 du 29 mai 2015</w:t>
      </w:r>
    </w:p>
    <w:p>
      <w:r>
        <w:t>IT: TAF A-2474/2014 del 29 maggio 2015</w:t>
      </w:r>
    </w:p>
    <w:p>
      <w:pPr>
        <w:pStyle w:val="Heading2"/>
      </w:pPr>
      <w:r>
        <w:t>Regeste</w:t>
      </w:r>
    </w:p>
    <w:p>
      <w:r>
        <w:t>Öffentlichkeitsprinzip</w:t>
      </w:r>
    </w:p>
    <w:p>
      <w:pPr>
        <w:pStyle w:val="Heading2"/>
      </w:pPr>
      <w:r>
        <w:t>Erwägungen</w:t>
      </w:r>
    </w:p>
    <w:p>
      <w:r>
        <w:rPr>
          <w:b/>
        </w:rPr>
        <w:t>E. 1.1</w:t>
      </w:r>
    </w:p>
    <w:p>
      <w:r>
        <w:t>Das Bundesverwaltungsgericht beurteilt nach Art. 31 des Verwaltungsgerichtsgesetzes (VGG, SR 173.32) Beschwerden gegen Verfügungen i.S.v. Art. 5 des Verwaltungsverfahrensgesetzes (VwVG, SR 172.021), soweit diese von einer Vorinstanz i.S.v. Art. 33 VGG erlassen worden sind und kein Ausnahmegrund i.S.v. Art. 32 VGG vorliegt; gemäss Art. 20 Abs. 1 des Bundesgesetzes über das Eidgenössische Nuklearsicherheitsinspektorat (ENSIG, SR 732.2) richtet sich die Anfechtung von Verfügungen der Vorinstanz nach den Bestimmungen über die Bundesrechtspflege. Bei der Vorinstanz handelt es sich um eine öffentlich-rechtliche Anstalt des Bundes mit eigener Rechtspersönlichkeit und somit um eine Vor­instanz i.S.v. Art. 33 Abs. 1 Bst. e VGG. Zudem liegt mit der angefochtenen Verfügung über ein Gesuch um Zugang zu amtlichen Dokumenten ein zulässiges Anfechtungsobjekt vor und es ist kein Ausnahmegrund i.S.v. Art. 32 VGG ersichtlich. Das Bundesverwaltungsgericht ist daher zur Beurteilung der vorliegenden Beschwerde sachlich wie funktional zuständig. Das Verfahren richtet sich nach dem VwVG, soweit das VGG nichts anderes bestimmt (Art. 37 VGG).</w:t>
      </w:r>
    </w:p>
    <w:p>
      <w:r>
        <w:rPr>
          <w:b/>
        </w:rPr>
        <w:t>E. 1.2</w:t>
      </w:r>
    </w:p>
    <w:p>
      <w:r>
        <w:t>Die materielle Beurteilung einer Streitsache setzt im Weiteren voraus, dass an ihr ein schutzwürdiges Interesse besteht (Art. 48 Abs. 1 VwVG). Es ist ein aktuelles und praktisches Interesse an der Überprüfung des Entscheids nachzuweisen. Ein solches liegt vor, wenn mit der Gutheissung der Beschwerde ein Nachteil abgewendet werden kann und der Beschwerdeführer insofern einen praktischen Nutzen aus der Aufhebung oder Änderung der angefochtenen Verfügung zu ziehen vermag. Die tatsächliche oder rechtliche Situation muss durch den Ausgang des Verfahrens noch beeinflusst werden können (Kölz/Häner/Bertschi, Verwaltungsverfahren und Verwaltungsrechtspflege des Bundes, 3. Aufl. 2013, Rz. 944; Isabelle Häner, in: Kommentar zum Bundesgesetz über das Verwaltungsverfahren [VwVG], 2008, Rz. 21 zu Art. 48). Vorliegend fehlt es an einem schutzwürdigen Interesse an der Beurteilung der Streitsache und somit an einer Sachurteilsvoraussetzung. Die Vor­instanz hat dem Beschwerdeführer zwischenzeitlich Zugang zu den Emissionsdaten der Kernkraftwerke Mühleberg und Leibstadt gewährt, so dass dieser aus einer Gutheissung der Beschwerde keinen praktischen Nutzen (mehr) zu ziehen vermag. Zudem besteht entgegen der Ansicht des Beschwerdeführers auch (noch) kein Grund, auf das Erfordernis eines aktuellen praktischen Interesses zu verzichten (Moser/Beusch/Kneubühler, Prozessieren vor dem Bundesverwaltungsgericht, 2. Aufl. 2013, S. 57 Rz. 2.72); es ist nicht ersichtlich, dass die Vor­instanz systematisch effektiven Rechtsschutz verhindern würde. Das Beschwerdeverfahren ist daher mangels Vorliegen der erforderlichen Sach­urteilsvoraussetzungen im einzelrichterlichen Verfahren als gegenstandslos geworden abzuschreiben (Art. 23 Abs. 1 Bst. a VGG). Im Selben sind die Anträge des Beschwerdeführers gemäss Ziff. 1 von dessen Stellungnahme vom 25. September 2014 - es sei die Vorinstanz zu verpflichten, ihre Verfügung vom 17. März 2014 in Wiedererwägung zu ziehen und das Beschwerdeverfahren einstweilen zu sistieren - abzuweisen. Weder stellt die angefochtene Verfügung über ein Gesuch um Zugang zu amtlichen Dokumenten eine Dauerverfügung dar noch hat sich der Sachverhalt seit Erlass der angefochtenen Verfügung in einer Weise geändert, dass ein (verfassungsrechtlicher) Anspruch auf Wiedererwägung der angefochtenen Verfügung auszumachen wäre (vgl. zur Dauer­verfügung das Urteil des BVGer A-3505/2011 vom 26. März 2011 E. 9.3.1). Unter veränderten tatsächlichen Umständen, aufgrund derer allenfalls ein Anspruch auf Wiedererwägung einer Verfügung besteht, sind äussere Umstände zu verstehen, welche das Rechtsschutzinteresse - anders als vorliegend - gerade nicht dahinfallen lassen. Unerheblich ist schliesslich, ob es sich, wie der Beschwerdeführer geltend macht, bei der Zustellung der nachgesuchten Emissionsdaten um einen unzulässigen verfügungsvertretenden Realakt handelt; das Rechtsschutzinteresse ist vorliegend wie ausgeführt dahingefallen, so dass kein Grund auszumachen ist, (nachträglichen) Rechtsschutz zu gewähren (vgl. Tschannen/Zimmerli/Müller, Allgemeines Verwaltungsrecht, 4. Aufl. 2014, § 38 Rz. 17 f.).</w:t>
      </w:r>
    </w:p>
    <w:p>
      <w:r>
        <w:rPr>
          <w:b/>
        </w:rPr>
        <w:t>E. 2.1</w:t>
      </w:r>
    </w:p>
    <w:p>
      <w:r>
        <w:t>Das Bundesverwaltungsgericht verlegt die Kosten grundsätzlich nach Unterliegen und Obsiegen (vgl. Art. 63 Abs. 1 und Art. 64 Abs. 1 VwVG). Wird ein Verfahren gegenstandslos, werden die Verfahrenskosten wie auch eine allfällige Parteientschädigung in der Regel jener Partei zur Bezahlung auferlegt, deren Verhalten die Gegenstandslosigkeit bewirkt hat (Art. 5 und Art. 15 des Reglements vom 21. Februar 2008 über die Kosten und Entschädigungen vor dem Bundesverwaltungsgericht [VGKE, SR 173.320.2]). Dies ist nach materiellen Kriterien zu beurteilen, d.h. es ist unerheblich, wer die formelle Prozesshandlung vornimmt, die zur Abschreibung des Beschwerdeverfahrens führt (Moser/Beusch/Kneu­bühler, a.a.O., S. 260 Rz. 4.56 mit Hinweisen).</w:t>
      </w:r>
    </w:p>
    <w:p>
      <w:r>
        <w:rPr>
          <w:b/>
        </w:rPr>
        <w:t>E. 2.2</w:t>
      </w:r>
    </w:p>
    <w:p>
      <w:r>
        <w:t>Vorliegend hat die Vorinstanz die Gegenstandslosigkeit des Beschwerdeverfahrens zu verantworten. Zwar hat sie die angefochtene Verfügung entgegen ihrer eigenen Ausführungen nicht in Wiedererwägung gezogen; beabsichtigt die verfügende Behörde, die angefochtene Verfügung wiedererwägungsweise aufzuheben oder abzuändern, so hat dies in Form einer neuen Verfügung zu geschehen (vgl. Art. 58 Abs. 2 VwVG). Sie hat jedoch dem Beschwerdeführer während des Beschwerdeverfahrens die zur Einsicht verlangten Emissionsdaten zugestellt und dies offensichtlich aus besserer eigener Erkenntnis; es ist nicht auszumachen, dass der Beschwerdeführer seinerseits den Anlass für die Gegenstandslosigkeit gesetzt hätte. Die Vorinstanz ist somit hinsichtlich der Verteilung der Kosten als im Sinn von Art. 5 VGKE unterliegend anzusehen. Gleichwohl sind ihr keine Verfahrenskosten aufzuerlegen (Art. 63 Abs. 2 VwVG).</w:t>
      </w:r>
    </w:p>
    <w:p>
      <w:r>
        <w:rPr>
          <w:b/>
        </w:rPr>
        <w:t>E. 2.3</w:t>
      </w:r>
    </w:p>
    <w:p>
      <w:r>
        <w:t>Der anwaltlich vertretene Beschwerdeführer hat sodann Anspruch auf eine Entschädigung für ihm erwachsene notwendige und verhältnismässig hohe Kosten (Art. 64 Abs. 1 VwVG). Das Bundesverwaltungsgericht legt die Parteientschädigung aufgrund der eingereichten Kostennote oder, wenn keine Kostennote eingereicht wird, aufgrund der Akten fest (Art. 14 VGKE). Das Anwaltshonorar wird nach dem notwendigen Zeitaufwand bemessen, wobei der Stundenansatz für Rechtsanwälte mindestens Fr. 200.- und höchstens Fr. 400.- beträgt (Art. 10 Abs. 1 und 2 VGKE). Wird der Zeitaufwand als notwendig anerkannt, akzeptiert das Bundesverwaltungsgericht praxisgemäss den innerhalb des reglementarischen Rahmens in Rechnung gestellten Honoraransatz (vgl. Urteil des BVGer A-2154/2012 vom 1. April 2014 E. 17.3.1 mit Hinweis). Für die Beurteilung, ob es sich bei geltend gemachten Kosten um notwendige Kosten handelt, steht dem Bundesverwaltungsgericht ein erheblicher Ermessensspielraum zu. Es hat ausgehend von den konkreten Umständen des Einzelfalles und der jeweiligen Prozesslage frei zu würdigen, ob und in welcher Höhe eine Parteientschädigung geschuldet ist. Hierbei ist nebst der Komplexität der Streitsache etwa in Betracht zu ziehen, ob dem Rechtsvertreter die Sach- und Rechtslage (aufgrund der Vertretung im vorangehenden Verfahren) bereits bekannt war (Urteil des BGer 8C_329/2011 vom 29. Juli 2011 E. 6; Urteil des BGer 2C_445/2009 vom 23. Februar 2010 E. 5). Zu einer Reduktion der Parteientschädigung führen etwa Wiederholungen in Rechtsschriften und Eingaben, wenn materiell nichts Neues vorgebracht wird. Ferner kann vermeidbarer Koordinationsaufwand beim Beizug mehrerer Rechtsanwälte zu einer Reduktion führen, ebenso eine Doppelvertretung, sofern deren Unerlässlichkeit nicht begründet wird (vgl. Urteil des BVGer A-4556/2011 vom 27. März 2012 insbes. E. 2.5 und E. 3.3.3 mit Hinweisen auf die Rechtsprechung). Der Beschwerdeführer hat dem Bundesverwaltungsgericht eine Kostennote über insgesamt Fr. 18'901.60 eingereicht. Nach Ansicht der Vor­instanz stehen die geltend gemachten Kosten in einem Missverhältnis zur Schwierigkeit der Streitsache. Soweit die Vorinstanz dabei den zeitlichen Aufwand als unangemessen hoch kritisiert, ist ihr zuzustimmen. Zwar haben die beiden Rechtsanwälte den Beschwerdeführer nicht bereits im Verfahren vor der Vorinstanz vertreten. Die vorliegende Streitsache ist jedoch weder in tatsächlicher noch in rechtlicher Hinsicht besonders komplex, woran auch der Umstand, dass die Vorinstanz dem Beschwerdeführer während des Beschwerdeverfahrens Zugang zu den Emissionsdaten der Kernkraftwerke Mühleberg und Leibstadt gewährt hat, nichts zu ändern vermag. Angesichts des Umfangs der angefochtenen Verfügung und der Vorakten sowie der tatsachenrelevanten und rechtlichen Ausführungen in der Beschwerdeschrift vom 8. Mai 2014 und der Stellungnahme vom 25. September 2014 erscheint ein zeitlicher Aufwand von 52.2 h als der Sache nicht angemessen und somit als zu hoch. Die Kostennote lässt zudem einen - angesichts der Komplexität der Streitsache - aussergewöhnlich hohen Besprechungs- und Koordinationsaufwand mit dem Beschwerdeführer erkennen. Die geltend gemachten Kosten sind daher zu reduzieren, wobei der weitere, nach Einreichen der Kostennote angefallene Aufwand angemessen zu berücksichtigen ist. Für das vorliegende Beschwerdeverfahren erachtet das Bundesverwaltungsgericht eine Parteientschädigung in der Höhe von Fr. 10'000.- (inkl. Auslagen und Mehrwertsteuerzuschlag i.S.v. Art. 9 Abs. 1 Bst. c VGKE) als angemessen. Soweit sich die Vorinstanz nebst dem zeitlichen Aufwand auch gegen den in Rechnung gestellten Honoraransatz wendet, ist sie nicht zu hören, liegen die verrechneten Stundenansätze doch innerhalb des reglementarischen Rahmens.</w:t>
      </w:r>
    </w:p>
    <w:p>
      <w:r>
        <w:rPr>
          <w:b/>
        </w:rPr>
        <w:t>E. 3</w:t>
      </w:r>
    </w:p>
    <w:p>
      <w:r>
        <w:t>Das Bundesverwaltungsgericht veröffentlicht nach Art. 6 Abs. 1 des Informationsreglements vom 21. Februar 2008 für das Bundesverwaltungsgericht (SR 173.320.4, nachfolgend: Informationsreglement) seine materiellen Entscheide in einer elektronischen Entscheiddatenbank. Abschreibungsentscheide werden praxisgemäss nicht publiziert. Davon kann nach Art. 6 Abs. 2 des Informationsreglements abgewichen werden, wenn sie für die Öffentlichkeit von Interesse sind. Der vorliegende Abschreibungsentscheid zeigt auf, dass die Vorinstanz (praxisgemäss) Zugang zu Anlagenparametern bzw. Emissionsdaten der schweizer Kernkraftwerke gewährt, jedenfalls wenn gestützt auf das BGÖ ein entsprechendes Gesuch gestellt wird. Dies ist für die Öffentlichkeit von Interesse, wie insbesondere auch die Medienberichterstattung im Zusammenhang mit den Zugangsgesuchen des Beschwerdeführers zeigt. In Gutheissung des entsprechenden Antrags des Beschwerdeführers gemäss dessen Stellungnahme vom 25. September 2014 ist daher der vorliegende Abschreibungsentscheid in der elektronischen Entscheiddatenbank zu veröffentlichen.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