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A-2452/2021 vom 2. Februar 2022</w:t>
      </w:r>
    </w:p>
    <w:p>
      <w:r>
        <w:t>Bundesverwaltungsgericht, 2022-02-02, DE</w:t>
      </w:r>
    </w:p>
    <w:p>
      <w:r>
        <w:rPr>
          <w:b/>
        </w:rPr>
        <w:t xml:space="preserve">Quelle: </w:t>
      </w:r>
      <w:r>
        <w:t>https://mcp.opencaselaw.ch/entscheid/bvger_A-2452_2021</w:t>
      </w:r>
    </w:p>
    <w:p>
      <w:r>
        <w:t>FR: TAF A-2452/2021 du 2 février 2022</w:t>
      </w:r>
    </w:p>
    <w:p>
      <w:r>
        <w:t>IT: TAF A-2452/2021 del 2 febbraio 2022</w:t>
      </w:r>
    </w:p>
    <w:p>
      <w:pPr>
        <w:pStyle w:val="Heading2"/>
      </w:pPr>
      <w:r>
        <w:t>Regeste</w:t>
      </w:r>
    </w:p>
    <w:p>
      <w:r>
        <w:t>Gebrannte Wasser</w:t>
      </w:r>
    </w:p>
    <w:p>
      <w:pPr>
        <w:pStyle w:val="Heading2"/>
      </w:pPr>
      <w:r>
        <w:t>Erwägungen</w:t>
      </w:r>
    </w:p>
    <w:p>
      <w:r>
        <w:rPr>
          <w:b/>
        </w:rPr>
        <w:t>E. 1.1</w:t>
      </w:r>
    </w:p>
    <w:p>
      <w:r>
        <w:t>Die EZV wurde per 1. Januar 2022 zum BAZG (nachfolgend: Vorinstanz; AS 2020 2743). Da die vorliegend geltenden Versionen der Rechtstexte (bis 31. Dezember 2021) noch von der «EZV» sprachen, wird diese Bezeichnung im Folgenden beibehalten, soweit diese Texte wiedergegeben werden.</w:t>
      </w:r>
    </w:p>
    <w:p>
      <w:r>
        <w:rPr>
          <w:b/>
        </w:rPr>
        <w:t>E. 1.2</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vorliegt. Der angefochtene Einspracheentscheid vom 28. April 2021 stellt eine solche Verfügung dar. Eine Ausnahme nach Art. 32 VGG liegt nicht vor und die Vorinstanz ist eine Behörde im Sinne von Art. 33 VGG. Demnach ist das Bundesverwaltungsgericht für die Beurteilung der Beschwerde zuständig. Das Verfahren richtet sich - soweit das VGG nichts anderes bestimmt - nach den Vorschriften des VwVG (Art. 37 VGG).</w:t>
      </w:r>
    </w:p>
    <w:p>
      <w:r>
        <w:rPr>
          <w:b/>
        </w:rPr>
        <w:t>E. 1.3</w:t>
      </w:r>
    </w:p>
    <w:p>
      <w:r>
        <w:t>Zwar wurde die EAV noch nicht formell aufgehoben, da Art. 76b des Bundesgesetzes vom 21. Juni 1932 über die gebrannten Wasser (AlkG, SR 680) gemäss der Änderung vom 30. September 2016 (AS 2017 777) bisher nicht in Kraft gesetzt wurde, jedoch war gemäss der genannten Änderung für die meisten, früher von der EAV wahrgenommenen Aufgaben später die EZV (nunmehr BAZG; vgl. E. 1.1) zuständig.</w:t>
      </w:r>
    </w:p>
    <w:p>
      <w:r>
        <w:rPr>
          <w:b/>
        </w:rPr>
        <w:t>E. 1.4</w:t>
      </w:r>
    </w:p>
    <w:p>
      <w:r>
        <w:t>Der Beschwerdeführer ist gemäss Art. 48 Abs. 1 VwVG zur Beschwerdeführung legitimiert. Da die Beschwerde im Übrigen frist- und formgerecht eingereicht wurde (Art. 20 i.V.m. Art. 50 Abs. 1 VwVG; Art. 52 Abs. 1 VwVG), ist auf die Beschwerde einzutreten.</w:t>
      </w:r>
    </w:p>
    <w:p>
      <w:r>
        <w:rPr>
          <w:b/>
        </w:rPr>
        <w:t>E. 1.5</w:t>
      </w:r>
    </w:p>
    <w:p>
      <w:r>
        <w:t>Das Bundesverwaltungsgericht kann den angefochtenen Einspracheentscheid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w:t>
      </w:r>
    </w:p>
    <w:p>
      <w:r>
        <w:rPr>
          <w:b/>
        </w:rPr>
        <w:t>E. 1.6</w:t>
      </w:r>
    </w:p>
    <w:p>
      <w:r>
        <w:t>Das Verfahren vor der Vorinstanz wie auch jenes vor dem Bundesverwaltungsgericht wird von der Untersuchungsmaxime beherrscht. Danach muss die entscheidende Behörde den rechtlich relevanten Sachverhalt von sich aus abklären und darüber ordnungsgemäss Beweis führen (BGE 144 II 359 E. 4.5.1; vgl. Urteile des BVGer A-2599/2020 vom 8. Dezember 2021 E. 2.2, A-5306/2019 vom 24. November 2021 E. 3.1, A-5038/2020 vom 23. November 2021 E. 1.5.1, A-5752/2015 vom 15. Juni 2016 E. 1.5.1). Der Untersuchungsgrundsatz wird allerdings modifiziert durch die im Abgaberecht regelmässig gesetzlich vorgesehene Mitwirkungspflicht des Abgabepflichtigen. So ist gemäss Art. 23 Abs. 2 AlkG jeder Steuerpflichtige gehalten, die Aufzeichnungen zu machen, die Formulare auszufüllen und die Anzeigen zu erstatten, die zur Veranlagung erforderlich sind (vgl. E. 2.7.1). Die Steuerveranlagung hingegen ist Sache der Vorinstanz (Art. 55 Abs. 1 AlkV i.V.m. Art. 23 Abs. 1bis AlkG; vgl. E. 2.7.1), wobei sie die Veranlagung gemäss Art. 55 Abs. 1 AlkV auch auf Grund ihrer eigenen Feststellungen vornehmen kann (vgl. E. 2.7.2; vgl. zum Ganzen: Urteile des BVGer A-5752/2015 vom 15. Juni 2016 E. 1.5.1, A-7597/2010 vom 24. Mai 2012 E. 2.2).</w:t>
      </w:r>
    </w:p>
    <w:p>
      <w:r>
        <w:rPr>
          <w:b/>
        </w:rPr>
        <w:t>E. 2.1</w:t>
      </w:r>
    </w:p>
    <w:p>
      <w:r>
        <w:t>Gemäss der Bundesverfassung der Schweizerischen Eidgenossenschaft vom 18. April 1999 (BV, SR 101) ist die Gesetzgebung über Herstellung, Einfuhr, Reinigung und Verkauf gebrannter Wasser Sache des Bundes (Art. 105 BV). Der hauptsächliche Zweck der Alkoholordnung liegt im Schutz der öffentlichen Gesundheit (vgl. statt vieler: Urteile des BVGer A-477/2018 vom 11. September 2018 E. 2.1, A-5752/2015 vom 15. Juni 2016 E. 2.1.1, A-335/2015 vom 2. Oktober 2015 E. 2.1 m.w.Hw.; ebenso bereits in der Botschaft zum Entwurf eines Bundesgesetzes über die gebrannten Wasser [Alkoholgesetz] vom 1. Juni 1931 [nachfolgend: Botschaft zum AlkG 1931], BBl 1931 I 697, 700 f., die von der «Verminderung des Branntweinverbrauches» spricht; Marc D. Veit/Jens B. Lehne/Tomas Poledna, in: Ehrenzeller/Schindler/Schweizer/Vallender [Hrsg.], Die schweizerische Bundesverfassung, 3. Aufl. 2014, Art. 105 Rz. 2 und 4).</w:t>
      </w:r>
    </w:p>
    <w:p>
      <w:r>
        <w:rPr>
          <w:b/>
        </w:rPr>
        <w:t>E. 2.2</w:t>
      </w:r>
    </w:p>
    <w:p>
      <w:r>
        <w:t>Nach Art. 3 Abs. 1 AlkG steht das Recht zur Herstellung und zur Reinigung gebrannter Wasser ausschliesslich dem Bund zu (sog. Alkoholmonopol). Die Ausübung dieses Rechts wird allerdings genossenschaftlichen und anderen privatwirtschaftlichen Unternehmungen durch Brennereikonzessionen übertragen (Art. 3 Abs. 2 AlkG).</w:t>
      </w:r>
    </w:p>
    <w:p>
      <w:r>
        <w:rPr>
          <w:b/>
        </w:rPr>
        <w:t>E. 2.3</w:t>
      </w:r>
    </w:p>
    <w:p>
      <w:r>
        <w:t>Seinen gesundheitspolitischen Auftrag erfüllt der Bund insbesondere durch Reduktion der Nachfrage nach gebrannten Wassern mittels fiskalischer Belastung (vgl. Art. 131 Abs. 1 Bst. b BV). Gleichzeitig reguliert er über das Alkoholmonopol das Angebot (vgl. Urteil des BVGer A-477/2018 vom 11. September 2018 E. 2.3; Veit/Lehne/Poledna, a.a.O., Art. 105 Rz. 5). Das System der Konzessionierung erlaubt zum einen eine Herabsetzung der Zahl der aktiven Brennereien und zum anderen eine bessere Qualitätskontrolle ihrer Erzeugnisse. Diese Wirkungen wurden bereits anlässlich der Schaffung des Alkoholgesetzes als Hauptziele genannt (Botschaft zum AlkG 1931 S. 701). Sodann bedingt die Durchsetzung des Systems der Konzessionierung eine effiziente Missbrauchsbekämpfung. Um eine solche zu gewährleisten, stehen die konzessionspflichtigen Brennereien unter der Kontrolle der EZV (Art. 7 Abs. 1 und Art. 15 Abs. 1 AlkG; zum Ganzen: Urteil des BVGer A-335/2015 vom 2. Oktober 2015 E. 2.4).</w:t>
      </w:r>
    </w:p>
    <w:p>
      <w:r>
        <w:rPr>
          <w:b/>
        </w:rPr>
        <w:t>E. 2.4</w:t>
      </w:r>
    </w:p>
    <w:p>
      <w:r>
        <w:t>Das geltende Alkoholgesetz unterscheidet zwischen «Gewerbebrennereien» (Art. 4 ff. AlkG) - wozu im weiteren Sinne auch die «Lohnbrennereien» (Art. 13 AlkG) gehören - und «Hausbrennereien» (Art. 14 ff. AlkG). Entsprechend werden gemäss Alkoholverordnung die Konzessionen für das Herstellen oder Reinigen von gebrannten Wassern den Kategorien «Gewerbebrennerei», «Lohnbrennerei» und «landwirtschaftliche Brennerei» (Letzteres gemäss Art. 1 Bst. f AlkV Synonym für «Hausbrennerei») zugeordnet (Art. 3 Abs. 1 AlkV). In der jeweiligen Konzession werden insbesondere die erlaubten Brennereirohstoffe, die Grösse und die Leistung der Brennerei sowie allfällige Bedingungen und Auflagen festgelegt (Art. 3 Abs. 2 AlkV).</w:t>
      </w:r>
    </w:p>
    <w:p>
      <w:r>
        <w:rPr>
          <w:b/>
        </w:rPr>
        <w:t>E. 2.4.1</w:t>
      </w:r>
    </w:p>
    <w:p>
      <w:r>
        <w:t>Konzessionen für Gewerbebrennereien werden erteilt, soweit dies den wirtschaftlichen Bedürfnissen des Landes entspricht (Art. 5 Abs. 1 AlkG). Gewerbebrenner, deren Jahresproduktion 200 Liter reinen Alkohol nicht übersteigt, werden als Kleinproduzenten bezeichnet (Art. 1 Bst. h AlkV). Kleinproduzenten werden in Bezug auf den Steuersatz für 30 Liter reinen Alkohols unter Vorbehalt, dass die gebrannten Rohstoffe (Art. 14 Abs. 1 AlkG) ausschliesslich inländisches Eigengewächs oder selbst gesammeltes inländisches Wildgewächs sind, bevorzugt (Art. 22 Abs. 2 AlkG i.V.m. Art. 24 AlkV).</w:t>
      </w:r>
    </w:p>
    <w:p>
      <w:r>
        <w:rPr>
          <w:b/>
        </w:rPr>
        <w:t>E. 2.4.2</w:t>
      </w:r>
    </w:p>
    <w:p>
      <w:r>
        <w:t>Die nicht gewerbsmässige Herstellung gebrannter Wasser zu Trinkzwecken aus genau beschriebenen Rohstoffen darf nur in konzessionierten Hausbrennereien oder im Brennauftrag erfolgen (Art. 3 Abs. 3 AlkG).</w:t>
      </w:r>
    </w:p>
    <w:p>
      <w:r>
        <w:rPr>
          <w:b/>
        </w:rPr>
        <w:t>E. 2.5.1</w:t>
      </w:r>
    </w:p>
    <w:p>
      <w:r>
        <w:t>Die Alkoholgesetzgebung sieht ein Steuerprivileg für Brennauftraggeber vor: Nach Art. 16 i.V.m. Art. 19 Abs. 2 AlkG dürfen Brennauftraggeber die im eigenen Haushalt und Landwirtschaftsbetrieb erforderlichen gebrannten Wasser als «Eigenbedarf» steuerfrei zurückbehalten, sofern die weiteren Voraussetzungen gegeben sind. Art. 23 Abs. 1 AlkV bestimmt, dass die EZV für den steuerfreien Eigenbedarf bestimmter Betriebsformen oder Personen eine Höchstgrenze festsetzen kann (Bst. a - i). Etwa kann eine solche Beschränkung bei Landwirten erfolgen, die sich über die rechtmässige Verwendung des steuerfreien Eigenbedarfs nicht ausweisen können (Bst. h). Bei Beschränkung des jährlichen steuerfreien Eigenbedarfs beträgt die Höchstgrenze 5 Liter Spirituosen je erwachsene, im Landwirtschaftsbetrieb ständig tätige Person und 1 Liter je Stück Grossvieh, wobei die EZV in Fällen von Art. 23 Abs. 1 Bst. h AlkV die Höchstmenge des steuerfreien Eigenbedarfs in Abweichung von dieser Regel festsetzen kann (Art. 23 Abs. 2 AlkV). Fällt der steuerfreie Eigenbedarf dahin, so werden vom Vorrat an Spirituosen höchstens 20 Liter zum Eigenverbrauch steuerfrei belassen (Art. 22 Abs. 4 AlkV).</w:t>
      </w:r>
    </w:p>
    <w:p>
      <w:r>
        <w:rPr>
          <w:b/>
        </w:rPr>
        <w:t>E. 2.5.2</w:t>
      </w:r>
    </w:p>
    <w:p>
      <w:r>
        <w:t>Brennauftraggeber stehen unter der Aufsicht der EZV (Art. 15 Abs. 1 i.V.m. Art. 19 Abs. 4 AlkG; vgl. E. 2.3).</w:t>
      </w:r>
    </w:p>
    <w:p>
      <w:r>
        <w:rPr>
          <w:b/>
        </w:rPr>
        <w:t>E. 2.6</w:t>
      </w:r>
    </w:p>
    <w:p>
      <w:r>
        <w:t>Gemäss Art. 20 AlkV (i.V.m. Art. 23 Abs. 1bis AlkG) entsteht die Steuerforderung unter anderem in folgenden Zeitpunkten: -bei Landwirten mit oder ohne begrenztem steuerfreiem Eigenbedarf im Zeitpunkt der Weitergabe (Bst. b) und -bei Landwirten mit begrenztem steuerfreiem Eigenbedarf auf der über die steuerfreie Höchstmenge hinaus verbrauchten Menge mit der Ausstellung der Rechnung (Bst. c). In Bezug auf Art. 20 Bst. c AlkV wird in Art. 56 Abs. 4 AlkV bestimmt, dass bei Landwirten mit begrenztem steuerfreiem Eigenbedarf die Steuerveranlagung der über die steuerfreie Menge hinaus verbrauchten Spirituosen am Ende des Rechnungsjahres erfolgt. Unmittelbar nach Entstehung der Steuerforderung muss die steuerpflichtige Person der EZV die Steueranmeldung einreichen (Art. 54 Abs. 1 und 2 AlkV).</w:t>
      </w:r>
    </w:p>
    <w:p>
      <w:r>
        <w:rPr>
          <w:b/>
        </w:rPr>
        <w:t>E. 2.7.1</w:t>
      </w:r>
    </w:p>
    <w:p>
      <w:r>
        <w:t>Nach Art. 21 Abs. 3 AlkG wird die Steuer für die in Hausbrennereien oder kraft Brennauftrags hergestellten gebrannten Wasser nach der an Drittpersonen abgegebenen Menge veranlagt (vgl. dazu jedoch vorne E. 2.5.1), wobei die Veranlagung auch pauschal erfolgen kann. Gemäss Art. 23 Abs. 1 AlkG ist die Steuerveranlagung Sache der EZV, wobei das Veranlagungsverfahren durch Verordnung des Bundesrates geregelt wird (Art. 23 Abs. 1bis AlkG; vgl. nachfolgend E. 2.7.2). Nach Art. 23 Abs. 2 AlkG ist jeder Steuerpflichtige - wie gesehen (E. 1.6) - gehalten, die Aufzeichnungen zu machen, die Formulare auszufüllen und die Anzeigen zu erstatten, die zur Veranlagung erforderlich sind. Darüber hinaus können die zuständigen Organe jederzeit und ohne Voranmeldung Kontrollen durchführen (Art. 23 Abs. 3 erster Satz AlkG).</w:t>
      </w:r>
    </w:p>
    <w:p>
      <w:r>
        <w:rPr>
          <w:b/>
        </w:rPr>
        <w:t>E. 2.7.2</w:t>
      </w:r>
    </w:p>
    <w:p>
      <w:r>
        <w:t>In Art. 55 Abs. 1 AlkV wird bestimmt, dass die Veranlagung auf Grund der Erklärung der steuerpflichtigen Person erfolgt, wobei die EZV die Veranlagung auch auf Grund ihrer eigenen Feststellungen vornehmen kann. Die Veranlagung ergeht in Form einer Verfügung. Für die Steuerveranlagung sind nach Art. 55 Abs. 2 AlkV sodann das Volumen oder die Masse und der Alkoholgehalt massgebend. Die EZV kann die Form der Anmeldung vorschreiben und namentlich den Einsatz der elektronischen Datenverarbeitung anordnen (Art. 23 Abs. 1 AlkG). Dies hat der Bundesrat in Art. 2 AlkV insofern konkretisiert, als demnach die Aufzeichnungen und Meldungen, die zur Veranlagung erforderlich sind, in der von der EZV vorgeschriebenen Form erfolgen, nämlich elektronisch (Bst. a) oder schriftlich (Bst. b). Die EZV hat für Brennauftraggeber die elektronische Form vorgeschrieben (vgl. Pflichtenheft für Landwirtinnen und Landwirte der EZV [nachfolgend: Pflichtenheft] Ziff. 6.2; das Pflichtenheft ist gemäss seiner Seite 1 integraler Bestandteil der Konzession; jeweils in der neusten Version zu finden unter www.bazg.admin.ch &gt; Themen &gt; Alkohol &gt; Inlandproduktion &gt; Landwirtschaftliche Produktion; letztmals abgerufen am 6. Januar 2022).</w:t>
      </w:r>
    </w:p>
    <w:p>
      <w:r>
        <w:rPr>
          <w:b/>
        </w:rPr>
        <w:t>E. 3</w:t>
      </w:r>
    </w:p>
    <w:p>
      <w:r>
        <w:t>Im vorliegenden Fall beantragt der Beschwerdeführer die Aufhebung des Einspracheentscheids vom 22. April 2021 und seine Einteilung entsprechend der in seinem Betrieb vorhandenen landwirtschaftlichen Nutzfläche und der in der landwirtschaftlichen Produktion tätigen Personen, letztlich also, dass er weiterhin als Brennauftraggeber bzw. als Landwirt mit steuerbefreitem Eigenbedarf anerkannt bleibt. Er begründet diese Anträge insbesondere damit, dass er von der Vorinstanz nur eine Mahnung erhalten habe sowie mit der Rechtsgleichheit und dem Grundsatz der Gleichmässigkeit der Besteuerung.</w:t>
      </w:r>
    </w:p>
    <w:p>
      <w:r>
        <w:rPr>
          <w:b/>
        </w:rPr>
        <w:t>E. 3.1.1</w:t>
      </w:r>
    </w:p>
    <w:p>
      <w:r>
        <w:t>Der Beschwerdeführer gibt zu, dass er die Jahreserklärung 2019/2020 nicht eingereicht hat, obwohl er von der Vorinstanz dazu aufgefordert worden war. Während des gesamten Zeitraums, also vom 10. August 2020, bzw. dem Tag der Zustellung dieses Schreibens, bis zum 9. November 2020, somit während rund drei Monaten, blieb der Beschwerdeführer untätig. Auch bis zum Erlass der entsprechenden Verfügungen vom 4. bzw. 7. Dezember 2020, und somit rund einen weiteren Monat, unternahm er nichts, um entweder seiner Mitwirkungspflicht nachzukommen oder die Vorinstanz um eine Erstreckung der ihm angesetzten Frist zu ersuchen.</w:t>
      </w:r>
    </w:p>
    <w:p>
      <w:r>
        <w:rPr>
          <w:b/>
        </w:rPr>
        <w:t>E. 3.1.2</w:t>
      </w:r>
    </w:p>
    <w:p>
      <w:r>
        <w:t>Die Vorinstanz hat somit grundsätzlich zu Recht erkannt, dass der Beschwerdeführer seiner Mitwirkungspflicht (E. 1.6), trotz mehrfacher Aufforderung, nicht nachgekommen ist.</w:t>
      </w:r>
    </w:p>
    <w:p>
      <w:r>
        <w:rPr>
          <w:b/>
        </w:rPr>
        <w:t>E. 3.2</w:t>
      </w:r>
    </w:p>
    <w:p>
      <w:r>
        <w:t>Was der Beschwerdeführer dagegen vorbringt, verfängt nicht:</w:t>
      </w:r>
    </w:p>
    <w:p>
      <w:r>
        <w:rPr>
          <w:b/>
        </w:rPr>
        <w:t>E. 3.2.1</w:t>
      </w:r>
    </w:p>
    <w:p>
      <w:r>
        <w:t>Der Beschwerdeführer ist verpflichtet, die Jahreserklärung einzureichen (E. 2.6 und 2.7.2). In Ziff. 6.2 des Pflichtenhefts wird festgehalten, dass Landwirte und Landwirtinnen, die über Spirituosenvorräte verfügen, Spirituosen selber herstellen oder in einer Lohnbrennerei herstellen lassen, jeweils in der zweiten Jahreshälfte von der Vorinstanz aufgefordert werden, Weitergaben und Endvorräte für das abgelaufene Brennjahr in der Jahreserklärung zu melden. Eine Mahnung ist nicht vorgesehen (anders z.B. Art. 130 Abs. 2 des Bundesgesetzes vom 14. Dezember 1990 über die direkte Bundessteuer [DBG, SR 642.11]), auch wenn das Vorgehen, die Steuerpflichtigen zu mahnen, unter dem Aspekt, dass die Vorinstanz den Sachverhalt grundsätzlich von Amtes wegen abzuklären hat (E. 1.6), zielführend erscheint. Es besteht jedoch kein Anspruch darauf, dass die Vorinstanz die Steuerpflichtigen an ihre Pflichten erinnert; noch weniger besteht ein Anspruch auf zwei Mahnungen. Daher ist unerheblich, ob der Beschwerdeführer, wie er geltend macht, nur eine Mahnung erhalten hat.</w:t>
      </w:r>
    </w:p>
    <w:p>
      <w:r>
        <w:rPr>
          <w:b/>
        </w:rPr>
        <w:t>E. 3.2.2</w:t>
      </w:r>
    </w:p>
    <w:p>
      <w:r>
        <w:t>Unbehelflich ist in diesem Zusammenhang auch die Berufung auf den Grundsatz der Rechtsgleichheit (Art. 8 Abs. 1 BV). Selbst wenn der Beschwerdeführer, wie er geltend macht, eine der Mahnungen nicht erhalten haben sollte, wäre er verpflichtet gewesen, aufgrund der Aufforderung der Vorinstanz die Jahreserklärung einzureichen, ohne dass es einer Mahnung bedurft hätte. Seine Pflicht zur Einreichung der Jahreserklärung hat der Beschwerdeführer verletzt, unabhängig davon, ob er die Mahnschreiben der Vorinstanz erhalten hat oder nicht, wobei zumindest der Zugang eines der Mahnschreiben eingestanden wird.</w:t>
      </w:r>
    </w:p>
    <w:p>
      <w:r>
        <w:rPr>
          <w:b/>
        </w:rPr>
        <w:t>E. 3.2.3</w:t>
      </w:r>
    </w:p>
    <w:p>
      <w:r>
        <w:t>Soweit sich der Beschwerdeführer im Zusammenhang mit der, wie er sich ausdrückt, «Strafsteuer» auf den Grundsatz der Rechtsgleichheit beruft, geht auch dieses Argument fehl, ist doch diese Besteuerung direkte Folge der Neueinstufung des Beschwerdeführers und wird er dadurch gerade gleich behandelt, wie andere Landwirte, die die Jahreserklärung nicht fristgerecht einreichen. Der Grundsatz der Gleichmässigkeit der Besteuerung ist Ausfluss des Rechtsgleichheitsgrundsatzes (Giovanni Biaggini, Bundesverfassung der Schweizerischen Eidgenossenschaft, 2. Aufl. 2017, Art. 8 BV N. 10). Aus der Berufung auf diesen Grundsatz kann der Beschwerdeführer daher nicht mehr ableiten als aus seiner Berufung auf den Grundsatz der Rechtsgleichheit (s.a. E. 3.2.2).</w:t>
      </w:r>
    </w:p>
    <w:p>
      <w:r>
        <w:rPr>
          <w:b/>
        </w:rPr>
        <w:t>E. 3.3</w:t>
      </w:r>
    </w:p>
    <w:p>
      <w:r>
        <w:t>Insgesamt hat die Vorinstanz dem Beschwerdeführer damit zu Recht den Status als Landwirt mit steuerbefreitem Eigenbedarf entzogen. Gegen die neue Konzessionierung als Gewerbebrenner, konkret, als Kleinproduzent mit Produktionsbesteuerung (E. 2.4.1), bringt der Beschwerdeführer nichts Weiteres vor. Da sich diese zudem für ihn vorteilhafter erweist, als wenn ihm gar keine Konzession erteilt würde, ist dieses Vorgehen der Vorinstanz nicht zu beanstanden.</w:t>
      </w:r>
    </w:p>
    <w:p>
      <w:r>
        <w:rPr>
          <w:b/>
        </w:rPr>
        <w:t>E. 3.4</w:t>
      </w:r>
    </w:p>
    <w:p>
      <w:r>
        <w:t>In Bezug auf die konkrete Nachforderung der Vorinstanz bringt der Beschwerdeführer nichts vor. Aufgrund der Verletzung der Mitwirkungspflicht durch den Beschwerdeführer hatte die Vorinstanz die Veranlagung aufgrund ihrer eigenen Feststellung vorzunehmen (E. 2.7.2). Nicht ersichtlich ist, dass die Vorinstanz ihrer Pflicht zur Abklärung des Sachverhalts nicht nachgekommen wäre. Sie hat sich zur Berechnung der Höhe der vom Beschwerdeführer geschuldeten Alkoholsteuer auf die ihr vorliegenden Unterlagen sowie die rechtlichen Bestimmungen (E. 2.5.1) gestützt. Die Berechnung der Vorinstanz hinsichtlich der vom Beschwerdeführer geschuldeten Alkoholabgabe ist zu bestätigen.</w:t>
      </w:r>
    </w:p>
    <w:p>
      <w:r>
        <w:rPr>
          <w:b/>
        </w:rPr>
        <w:t>E. 3.5</w:t>
      </w:r>
    </w:p>
    <w:p>
      <w:r>
        <w:t>Die Beschwerde ist somit abzuweisen. Sowohl die Festsetzung des steuerbefreiten Eigenbedarfs auf null und die Einteilung des Beschwerdeführers ab 1. Juli 2020 als steuerpflichtiger Kleinproduzent mit Produktionsbesteuerung als auch die Festsetzung der Alkoholsteuern für das Steuerjahr 2019/2020 auf Fr. 2'935.65 sind zu bestätigen.</w:t>
      </w:r>
    </w:p>
    <w:p>
      <w:r>
        <w:rPr>
          <w:b/>
        </w:rPr>
        <w:t>E. 4</w:t>
      </w:r>
    </w:p>
    <w:p>
      <w:r>
        <w:t>Die Verfahrenskosten sind auf Fr. 800.-- festzusetzen und dem unterliegenden Beschwerdeführer aufzuerlegen (Art. 63 Abs. 1 VwVG sowie Art. 1 ff. des Reglements vom 21. Februar 2008 über die Kosten und Entschädigungen vor dem Bundesverwaltungsgericht [VGKE, SR 173.320.2]). Der in gleicher Höhe einbezahlte Kostenvorschuss ist zur Bezahlung dieser Kosten zu verwenden. Der unterliegende Beschwerdeführer und die Vorinstanz haben keinen Anspruch auf eine Parteientschädigung (vgl. Art. 64 Abs. 1 VwVG e contrario i.V.m.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