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A-2427/2024 vom 22. November 2024</w:t>
      </w:r>
    </w:p>
    <w:p>
      <w:r>
        <w:t>Bundesverwaltungsgericht, 2024-11-22, DE</w:t>
      </w:r>
    </w:p>
    <w:p>
      <w:r>
        <w:rPr>
          <w:b/>
        </w:rPr>
        <w:t xml:space="preserve">Quelle: </w:t>
      </w:r>
      <w:r>
        <w:t>https://mcp.opencaselaw.ch/entscheid/bvger_A-2427_2024</w:t>
      </w:r>
    </w:p>
    <w:p>
      <w:r>
        <w:t>FR: TAF A-2427/2024 du 22 novembre 2024</w:t>
      </w:r>
    </w:p>
    <w:p>
      <w:r>
        <w:t>IT: TAF A-2427/2024 del 22 novembre 2024</w:t>
      </w:r>
    </w:p>
    <w:p>
      <w:pPr>
        <w:pStyle w:val="Heading2"/>
      </w:pPr>
      <w:r>
        <w:t>Regeste</w:t>
      </w:r>
    </w:p>
    <w:p>
      <w:r>
        <w:t>Amtshilfe</w:t>
      </w:r>
    </w:p>
    <w:p>
      <w:pPr>
        <w:pStyle w:val="Heading2"/>
      </w:pPr>
      <w:r>
        <w:t>Erwägungen</w:t>
      </w:r>
    </w:p>
    <w:p>
      <w:r>
        <w:rPr>
          <w:b/>
        </w:rPr>
        <w:t>E. 1.1</w:t>
      </w:r>
    </w:p>
    <w:p>
      <w:r>
        <w:t>Dem vorliegenden Verfahren liegt ein Amtshilfeersuchen der AEAT gestützt auf das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1.4</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Sachverhaltes sowie die Unangemessenheit rügen (vgl. Art. 49 Bst. a bis c VwVG).</w:t>
      </w:r>
    </w:p>
    <w:p>
      <w:r>
        <w:rPr>
          <w:b/>
        </w:rPr>
        <w:t>E. 2.1.1</w:t>
      </w:r>
    </w:p>
    <w:p>
      <w:r>
        <w:t>Die 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die Steuerjahre 2018 bis 2021 betrifft, ist somit das Änderungsprotokoll auf den vorliegenden Sachverhalt anwendbar.</w:t>
      </w:r>
    </w:p>
    <w:p>
      <w:r>
        <w:rPr>
          <w:b/>
        </w:rPr>
        <w:t>E. 2.1.2</w:t>
      </w:r>
    </w:p>
    <w:p>
      <w:r>
        <w:t>Art. 25bis DBA CH-ES entspricht weitgehend dem Wortlaut von Art. 26 des OECD-Musterabkommens (OECD-MA; zu finden unter https://www.oecd.org/en/publications.html;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2.2.1</w:t>
      </w:r>
    </w:p>
    <w:p>
      <w:r>
        <w:t>Die formellen Voraussetzungen für Amtshilfebegehren gestützt auf das DBA CH-ES sind in Ziff. IV Abs. 2 des Protokolls zum DBA CH-ES geregelt. Demnach besteht Einvernehmen darüber, dass die Steuerbehörden des ersuchenden Staates bei der Stellung eines Amtshilfebegehrens nach Artikel 25bis DBA CH-ES den Steuerbehörden des ersuchten Staates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2.2.2</w:t>
      </w:r>
    </w:p>
    <w:p>
      <w:r>
        <w:t>Enthält ein Ersuchen alle Informationen, die gemäss dem anwendbaren Übereinkommen erforderlich sind, kann das Vorliegen einer «fishing expedition» (vgl. E. 2.3.1) grundsätzlich verneint werden (Urteil des BGer 2C_953/2020 vom 24. November 2021 E. 3.3; Urteil des BVGer A-5281/2021 vom 2. Mai 2022 E. 6.1).</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(unzulässige Beweisausforschungen) zu betreiben oder um Informationen zu ersuchen, deren Erheblichkeit hinsichtlich der Steuerbelange einer bestimmten steuerpflichtigen Person unwahrscheinlich ist. Ziff. IV Abs. 2 des Protokolls zum DBA CH-ES sieht zwar wichtige verfahrenstechnische Voraussetzungen für die Vermeidung von «fishing expeditions» vor; seine Buchstaben a-e sind jedoch nicht so auszulegen, dass sie einen wirksamen Informa-tionsaustausch behindern.</w:t>
      </w:r>
    </w:p>
    <w:p>
      <w:r>
        <w:rPr>
          <w:b/>
        </w:rPr>
        <w:t>E. 2.3.2</w:t>
      </w:r>
    </w:p>
    <w:p>
      <w:r>
        <w:t>Wurde ein Gesuch zum Zweck der Beweisausforschung gestellt, wird gemäss innerstaatlichem Recht darauf nicht eingetreten (Art. 7 Bst. a StAhiG).</w:t>
      </w:r>
    </w:p>
    <w:p>
      <w:r>
        <w:rPr>
          <w:b/>
        </w:rPr>
        <w:t>E. 2.3.3</w:t>
      </w:r>
    </w:p>
    <w:p>
      <w:r>
        <w:t>Gemäss Rechtsprechung gelten Informationen als voraussichtlich erheblich zur Anwendung oder Durchsetzung des innerstaatlichen Rechts (vgl. E. 2.1.2), soweit diese Informationen für den ersuchenden Staat notwendig sind, um eine in diesem Staat steuerpflichtige Person dort korrekt zu besteuern (BGE 143 II 185 E. 3.3.1, 141 II 436 E. 4.4.3; Urteil des BVGer A-4603/2019 vom 17. August 2020 E. 2.3.2. m.w.H.).</w:t>
      </w:r>
    </w:p>
    <w:p>
      <w:r>
        <w:rPr>
          <w:b/>
        </w:rPr>
        <w:t>E. 2.3.4</w:t>
      </w:r>
    </w:p>
    <w:p>
      <w:r>
        <w:t>Die voraussichtliche Erheblichkeit von geforderten Unterlagen oder Auskünften muss sich bereits aus dem Amtshilfegesuch ergeben (vgl. BGE 141 II 436 E. 4.4.3).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Die Voraussetzung der voraussichtlichen Erheblichkeit ist erfüllt, wenn im Zeitpunkt der Einreichung des Amtshilfeersuchens eine vernünftige Möglichkeit besteht, dass sich die verlangten Informationen als erheblich erweisen werden (BGE 143 II 185 E. 3.3.2;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2.3.5</w:t>
      </w:r>
    </w:p>
    <w:p>
      <w:r>
        <w:t>Ob eine Information erheblich ist, kann in der Regel nur der ersuchende Staat abschliessend feststellen.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A-6507/2020 vom 11. Oktober 2022 E. 2.3.4, A-186/2021 vom 21. Dezember 2021 E. 2.1.2, A-5146/2018 vom 28. Juli 2020 E. 5.2.2). Der ersuchte Staat darf die Auskünfte mit der Begründung, die verlangten Informationen seien nicht «voraussichtlich erheblich»,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141 II 436 E. 4.4.3; statt vieler: Urteil des BVGer A-6507/2020 vom 11. Oktober 2022 E. 2.3.4).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Urteile des BVGer A 3755/2020 vom 14. Juli 2022 E. 4.3.3, A-840/2022 vom 19. Januar 2023 E. 2.4.4, A-5107/2020 vom 21. Oktober 2022 E. 5.2.2 f.).</w:t>
      </w:r>
    </w:p>
    <w:p>
      <w:r>
        <w:rPr>
          <w:b/>
        </w:rPr>
        <w:t>E. 2.3.6</w:t>
      </w:r>
    </w:p>
    <w:p>
      <w:r>
        <w:t>Um die Durchsetzung des Steuerrechts des ersuchenden Staates zu ermöglichen (vgl. E. 2.1.2), können gemäss bundesgerichtlicher Rechtsprechung grundsätzlich sämtliche Informationen, die ein Vertragsstaat für die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 des BGer 2C_690/2015 vom 15. März 2016 E. 3.3). Hinsichtlich des vorgenannten Untersuchungsgegenstands können rechtsprechungsgemäss insbesondere die folgenden Informationen für das ausländische Steuerverfahren relevant und daher voraussichtlich erheblich sein: Steuererklärungen, Bilanzen, Betriebsstättengewinnausscheidungen, Erfolgsrechnungen sowie namentlich Informationen hinsichtlich Steuerregime, Steuerfaktoren und die angewandten Steuersätze (Urteile des BGer 2C_282/2021 vom 15. Juni 2022 E. 4.4.2 f. und 4.5, 2C_455/2021 vom 31. Mai 2022 E. 4.3.2, 2C_411/2016 [et al.] vom 13. Februar 2017 E. 4; Urteil des BVGer A-2453/2021 vom 3. Mai 2023 E. 2.7.4).</w:t>
      </w:r>
    </w:p>
    <w:p>
      <w:r>
        <w:rPr>
          <w:b/>
        </w:rPr>
        <w:t>E. 2.4.1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m.w.H.; Urteil des BVGer A-2175/2021 vom 22. September 2021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2.4.2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 Es liegt damit an der betroffenen Person, den Sachverhalt zu widerlegen, sofern ihr dies sofort und klarerweise und entscheidend gelingt. Da im Amtshilfeverfahren kein Raum für ein umfangreiches Beweisverfahren bleibt, hat der Nachweis mittels Urkunden zu erfolgen (vgl. BGE 139 II 451 E. 2.3.3; vgl. zum Ganzen: Urteile des BVGer A-674/2020 vom 24. August 2021 E. 3.9, A-4163/2019 vom 22. April 2020 E. 2.2, je m.w.H.).</w:t>
      </w:r>
    </w:p>
    <w:p>
      <w:r>
        <w:rPr>
          <w:b/>
        </w:rPr>
        <w:t>E. 3.1</w:t>
      </w:r>
    </w:p>
    <w:p>
      <w:r>
        <w:t>Das vorliegend zu beurteilende Amtshilfeersuchen erfüllt die an ein solches gestellten formellen Anforderungen (E. 2.2.1). Etwas anderes wird von der Beschwerdeführerin auch nicht geltend gemacht. Strittig ist insbesondere, ob die Unterlagen, um deren Übermittlung ersucht wird, für den im Amtshilfeersuchen genannten Steuerzweck voraussichtlich erheblich sein können.</w:t>
      </w:r>
    </w:p>
    <w:p>
      <w:r>
        <w:rPr>
          <w:b/>
        </w:rPr>
        <w:t>E. 3.2.1</w:t>
      </w:r>
    </w:p>
    <w:p>
      <w:r>
        <w:t>Die Beschwerdeführerin bringt zusammenfassend vor, seit dem (...) gehörten sie und die schweizerische Gesellschaft zu zwei unterschiedlichen Unternehmensgruppen und seien daher nicht als verbundene Personen im Sinne von Art. 9 DBA CH-ES anzusehen. Die Bestimmung entfalte gegenüber dem innerstaatlichen Recht eine Sperrwirkung (vgl. Sachverhalt Bst. C.c).</w:t>
      </w:r>
    </w:p>
    <w:p>
      <w:r>
        <w:rPr>
          <w:b/>
        </w:rPr>
        <w:t>E. 3.2.2</w:t>
      </w:r>
    </w:p>
    <w:p>
      <w:r>
        <w:t>Die AEAT macht im Amtshilfeersuchen geltend, die Beschwerdeführerin und die schweizerische Gesellschaft seien verbunden und nennt hierfür mehrere Indizien (vgl. Sachverhalt Bst. A.b).</w:t>
      </w:r>
    </w:p>
    <w:p>
      <w:r>
        <w:rPr>
          <w:b/>
        </w:rPr>
        <w:t>E. 3.2.3.1</w:t>
      </w:r>
    </w:p>
    <w:p>
      <w:r>
        <w:t>Der Sachverhalt muss durch die ersuchende Behörde nicht bereits lückenlos dargelegt und strikt bewiesen werden, hinreichende Verdachtsmomente für dessen Vorliegen genügen (vgl. E. 2.4.1). Der Beschwerdeführerin gelang es weder vor der Vorinstanz noch gelingt es ihr im vorliegenden Verfahren, die Sachverhaltsdarstellung im Ersuchen der AEAT mittels Urkunden zu entkräften. Schliesslich wurden entgegen der Ansicht der Beschwerdeführerin (vgl. Sachverhalt Bst. C.c) die Informationen auch mit dem Ziel angefragt, eine mögliche Verbundenheit zwischen den beiden Unternehmen zu prüfen. Dies geht insbesondere aus den im Amtshilfeersuchen verlangten Informationen hervor: «Justification as to whether the activities, functions, assets and risks carried out by the A._______ AG, with respect to its economic relationship with X._______ SA have varied with respect to those carried out in the fiscal years (...)» (vgl. Sachverhalt Bst. A.c).</w:t>
      </w:r>
    </w:p>
    <w:p>
      <w:r>
        <w:rPr>
          <w:b/>
        </w:rPr>
        <w:t>E. 3.2.3.2</w:t>
      </w:r>
    </w:p>
    <w:p>
      <w:r>
        <w:t>Damit ist auf die von der Beschwerdeführerin aufgeworfene Frage einzugehen, ob Art. 9 DBA CH-ES eine Sperrwirkung in dem Sinne entfaltet, dass die Möglichkeit einer abkommenswidrigen Besteuerung dazu führen würde, dass die Amtshilfe verweigert werden müsste (eine abkommenswidrige Besteuerung als Grenze der Amtshilfeleistung ist auch in Art. 25bis Abs. 1 DBA CH-ES genannt; E. 2.1.2). Art. 9 DBA CH-ES lautet: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 Art. 9 DBA CH-ES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Harbeke/Hug/Scherrer, Verrechnungspreisrecht der Schweiz, 2022, S. 178 Rz. 460, die allerdings auch darauf hinweisen, dass der Drittvergleichsgrundsatz im OECD-Musterabkommen nicht konkretisiert wird und auch die OECD-Verrechnungspreisleitlinien einen erheblichen Interpretationsspielraum belassen). Wie andere Bestimmungen in den Doppelbesteuerungsabkommen auch, stellt - zumindest aus schweizerischer Sicht - Art. 9 DBA CH-ES keine Basis für die Besteuerung durch die nationalen Steuerbehörden dar, sondern er beschränkt die Doppelbesteuerung (vgl. Urteile des BVGer A-3961/2022 E. 3.2.1.3 vom 8. April 2024, A-744/2022 vom 18. August 2023 E. 3.2.2.2; Peter Eisenring, Kommentar Internationales Steuerrecht, Art. 9 Rz. 2; Matteotti/Horn, Kommentar Internationales Steuerrecht, Einleitung Rz. 12; Harbeke/Hug/Scherrer, a.a.O., S. 179 Rz. 462; Fabian Duss, Grenzüberschreitende Leistungsbeziehungen im Konzern, in: IFF Forum für Steuerrecht 2015, S. 103 ff., S. 125). Insofern erweist es sich als sachgerecht, wenn die Frage, ob verbundene Unternehmen vorliegen, zunächst nach innerstaatlichem Recht definiert wird (vgl. Art. 3 Abs. 2 DBA CH-ES; vgl. Eisenring, a.a.O., Art. 9 Rz.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Spaniens) ist von der Schweiz im Rahmen der internationalen Amtshilfe in Steuersachen nicht zu prüfen (vgl. BGE 144 II 206 E. 4.3, Urteil des BGer 2C_208/2024 vom 8. Mai 2024 E. 1.5).</w:t>
      </w:r>
    </w:p>
    <w:p>
      <w:r>
        <w:rPr>
          <w:b/>
        </w:rPr>
        <w:t>E. 3.2.3.3</w:t>
      </w:r>
    </w:p>
    <w:p>
      <w:r>
        <w:t>Betreffend die von der Beschwerdeführerin vorgebrachte Sperrwirkung wird insbesondere diskutiert, ob jener Staat, der die Besteuerung vornimmt, sich im Rahmen seiner internen Besteuerung von vornherein an die in Art. 9 DBA CH-ES enthaltenen Vorgaben halten muss (Sperrwirkung) oder sich auf sein innerstaatliches Recht berufen kann, das dem Doppelbesteuerungsabkommen vorgehe (keine Sperrwirkung; mit Hinweis auf verschiedene Auffassungen in der deutschen Lehre: Dworaczek/Herda, 1. Teil Kapitel 2/II, in: Vögele/Borstell/van der Ham [Hrsg.], Verrechnungspreise, 6. Aufl., München 2024, S. 169 Rz. 28; Harbeke/Hug/Scherrer, a.a.O., S. 177 Rz. 458 f., vgl. auch S. 180 f. Rz. 465; Duss, a.a.O., S. 126). Die Frage bezieht sich aber auf das innerstaatliche Recht des ersuchenden Staates, das im Rahmen der Amtshilfe nicht geprüft wird (E. 3.2.3.2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(Urteil des BVGer A-744/2022 vom 18. August 2023 E. 3.2.2.3).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(Urteil des BVGer A-744/2022 vom 18. August 2023 E. 3.2.2.3). Dies ist vorliegend nicht der Fall. Aus den Hinweisen der ersuchenden Behörde im Amtshilfeersuchen, dass sie die Informationen benötige, um festzustellen, ob die Aktivitäten von der schweizerischen Gesellschaft und der Beschwerdeführerin unverändert geblieben seien und um gegebenenfalls Verrechnungspreise anpassen zu können (vgl. Sachverhalt Bst. A.b), lässt sich nicht ableiten, dass der ersuchende Staat auf eine abkommenswidrige Besteuerung abzielt. Die Beschwerdeführerin sieht eine abkommenswidrige Besteuerung zudem darin begründet, dass es an einer Verbundenheit zwischen ihr und der schweizerischen Gesellschaft mangle. Dabei verkennt die Beschwerdeführerin, dass es gerade nicht Aufgabe des ersuchten Staates ist, zu prüfen, ob eine Verbundenheit vorliegt. So wird für die Besteuerung der Beschwerdeführerin Spanien zunächst gemäss seinem internen Recht prüfen, ob die Beschwerdeführerin und die schweizerische Gesellschaft nach diesem Recht als verbunden gelten (vgl. E. 3.2.3.2). Dieses Recht hat das Bundesverwaltungsgericht nicht zu prüfen. Erst daran wird sich die Prüfung schliessen, welchem Staat nach dem anwendbaren Doppelbesteuerungsabkommen das Recht zur Besteuerung zukommt und wie hoch diese sein darf, konkret also, ob Gewinnaufrechnungen zulässig sind. Es darf - auch aufgrund des völkerrechtlichen Vertrauensprinzips (E. 2.4) - davon ausgegangen werden, dass Spanien keine abkommenswidrige Besteuerung anstrebt. Resultierte tatsächlich eine abkommenswidrige Besteuerung der Beschwerdeführerin, so hätte diese dies in Spanien geltend zu machen; allenfalls liesse sich ein Verständigungsverfahren einleiten (vgl. Art. 25 Abs. 1 DBA CH-ES).</w:t>
      </w:r>
    </w:p>
    <w:p>
      <w:r>
        <w:rPr>
          <w:b/>
        </w:rPr>
        <w:t>E. 3.2.4</w:t>
      </w:r>
    </w:p>
    <w:p>
      <w:r>
        <w:t>Damit verfangen die von der Beschwerdeführerin gegen die voraussichtliche Erheblichkeit der Informationen vorgebrachten Argumente nicht. Sodann ist im Rahmen der Plausibilitätsprüfung (vgl. E. 2.3.5) die voraussichtliche Erheblichkeit der zur Übermittlung vorgesehenen Informationen für das spanische Verfahren - namentlich zur Widerlegung oder Erhärtung der Vermutung einer relevanten Verbundenheit der Beschwerdeführerin mit der schweizerischen Gesellschaft nach spanischem Recht sowie zur Überprüfung der Verrechnungspreise - zu bejahen.</w:t>
      </w:r>
    </w:p>
    <w:p>
      <w:r>
        <w:rPr>
          <w:b/>
        </w:rPr>
        <w:t>E. 4</w:t>
      </w:r>
    </w:p>
    <w:p>
      <w:r>
        <w:t>Nach dem Gesagten sind die Voraussetzungen für die in der Schlussverfügung vorgesehene Amtshilfeleistung erfüllt. Die Beschwerde erweist sich als unbegründet und ist abzuweisen.</w:t>
      </w:r>
    </w:p>
    <w:p>
      <w:r>
        <w:rPr>
          <w:b/>
        </w:rPr>
        <w:t>E. 5.1</w:t>
      </w:r>
    </w:p>
    <w:p>
      <w:r>
        <w:t>Ausgangsgemäss sind die Verfahrenskosten der unterliegenden Beschwerdeführerin aufzuerlegen (Art. 63 Abs. 1 VwVG).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