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A-2419/2020 vom 8. November 2022</w:t>
      </w:r>
    </w:p>
    <w:p>
      <w:r>
        <w:t>Bundesverwaltungsgericht, 2022-11-08, IT</w:t>
      </w:r>
    </w:p>
    <w:p>
      <w:r>
        <w:rPr>
          <w:b/>
        </w:rPr>
        <w:t xml:space="preserve">Quelle: </w:t>
      </w:r>
      <w:r>
        <w:t>https://mcp.opencaselaw.ch/entscheid/bvger_A-2419_2020</w:t>
      </w:r>
    </w:p>
    <w:p>
      <w:r>
        <w:t>FR: TAF A-2419/2020 du 8 novembre 2022</w:t>
      </w:r>
    </w:p>
    <w:p>
      <w:r>
        <w:t>IT: TAF A-2419/2020 del 8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27 aprile 2020 dell'autorità inferiore, con cui quest'ultima ha accolto la domanda raggruppata italiana di assistenza amministrativa del 23 novembre 2018, per quanto concerne la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dalla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della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la ricorrente censura innanzitutto il difetto di legge in senso formale del documento «Agreement on exchange of information through group request». L'Accordo - a mente della ricorrente - non avrebbe infatti portata giuridica motivo per cui la domanda raggruppata sarebbe irricevibile. Successivamente, l'AFC non avrebbe - in violazione del suo diritto costituzionale di essere sentito ed esercitando arbitrariamente il suo potere di apprezzamento - nutrito sufficienti dubbi in merito all'autenticità dello scritto 3 febbraio 2014 e alla sua effettiva trasmissione ai clienti della banca. Tale scritto - così come quello del 20 febbraio 2015 - non sarebbe infatti mai stato notificato alla ricorrente e nemmeno vi sarebbe prova di tale aspetto agli atti. Per questo motivo, basandosi la richiesta di assistenza amministrativa sullo scritto 3 febbraio 2014 - apparentemente mai notificato ai clienti della banca - la stessa costituirebbe una ricerca indiscriminata di prove. Secondo la ricorrente la missiva 20 febbraio 2015 non adempierebbe poi la condizione già ravvisata dal Tribunale federale con sentenza DTF 143 II 136, e meglio che le persone oggetto della richiesta di informazioni devono essere preventivamente informate dalla banca circa la necessità di dimostrare la conformità fiscale dei loro averi (cfr. ricorso 7 maggio 2020, punti n. 5-7). I criteri di qualifica della domanda raggruppata sarebbero anche frutto di un approccio statistico dovuta dalla genericità della commissione rogatoria. Mancherebbe in tal senso una specifica e dettagliata descrizione del gruppo, nonché una motivazione esatta per la quale i contribuenti oggetto della domanda raggruppata verrebbero ritenuti responsabili di aver violato l'ordinamento giuridico tributario nello stato richiedente. La domanda di assistenza non si fonderebbe sulla verosimile rilevanza delle informazioni esatte, ma perseguirebbe - al contrario - la ricerca indiscriminata di prove (cfr. ricorso 7 maggio 2020, punti n. 6-7). A mente della ricorrente vi sarebbe poi la violazione del principio di affidamento e questo in quanto la domanda di assistenza amministrativa sarebbe lacunosa e deficitaria. Anche il principio di sussidiarietà sarebbe stato violato - così come quello della buona fede nei rapporti assistenziali - non avendo l'autorità italiana - di fatto - proceduto autonomamente all'accertamento dei contribuenti recalcitranti nel dichiarare i loro patrimoni alle autorità italiane. Lo scopo perseguito dalle autorità italiane nel caso di specie poteva infatti essere soddisfatto con l'esercizio delle proprie prerogative nazionali e questo senza che fosse necessario ricorrere alla procedura assistenziale (cfr. ricorso 7 maggio 2020, punto n. 7). Sennonché tali censure non possono che essere qui respinte. Gli argomenti sollevati dalla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la ricorrente allorquando questa ritiene - contrariamente a quanto stabilito dal Tribunale federale - che la domanda non sia conforme al diritto e più precisamente alla CDI CH-IT.</w:t>
      </w:r>
    </w:p>
    <w:p>
      <w:r>
        <w:rPr>
          <w:b/>
        </w:rPr>
        <w:t>E. 5</w:t>
      </w:r>
    </w:p>
    <w:p>
      <w:r>
        <w:t>Constatata l'ammissibilità della domanda raggruppata italiana di assistenza amministrativa del 23 novembre 2018, occorre ancora stabilire se la ricorrente rientri o meno nel modello di comportamento (lecitamente) ivi descritto dall'autorità richiedente italiana. Ora, la ricorrente contesta il suo statuto quale contribuente fiscale recalcitrante. La sua inclusione nel gruppo di comportamento sarebbe infatti rimasta indimostrata da parte dell'autorità italiana. Più precisamente essa sostiene non aver mai ricevuto la lettera 3 febbraio 2014, così come quella 20 febbraio 2015. Agli atti non vi sarebbero prove e/o indizi circa l'esplicita comunicazione della banca nei riguardi della qui ricorrente in merito alle disposizioni per la clientela con residenza fiscale in Italia. A mente della ricorrente la banca non avrebbe poi posto alcuna condizione all'atto di estinzione della relazione bancaria e al trasferimento dei saldi/titoli ivi depositati in banca messicana. Ciò - a dire della ricorrente - sarebbe la dimostrazione del fatto che la missiva 20 febbraio 2015 non le sarebbe mai stata inviata, rispettivamente recapitata (cfr. ricorso 7 maggio 2020, punto n. 5-6). A tal proposito, lo scrivente Tribunale rileva come da un esame degli atti dell'incarto - e meglio dalla documentazione fornita dalla banca B._______/C._______ (cfr. atto n. 18.2 dell'incarto prodotto dall'autorità inferiore su chiave USB [di seguito: inc. AFC]) - risulti chiaramente che durante il periodo interessato dalla predetta domanda raggruppata, la ricorrente era titolare di un conto bancario presso la banca B._______/C._______. È poi incontestato ch'essa abbia ricevuto la lettera 20 febbraio 2015 della predetta banca. Dalla documentazione bancaria si evince infatti chiaramente come sebbene la ricorrente abbia dato ordine alla banca di trattenere la corrispondenza, i due procuratori autorizzati si siano recati presso l'istituto in data 28 aprile 2015. Più precisamente dall'atto n. 18.2 dell'inc. AFC emerge in maniera chiara che durante tale visita i procuratori abbiano chiesto informazioni in merito alla posizione della ricorrente e che l'aspetto fiscale nel paese richiedente sia stato oggetto di discussione con il consulente. In tali circostanze, vi è dunque motivo di presumere che la ricorrente abbia avuto conoscenza di detto scritto e abbia tuttavia scelto di non reagire a detta lettera comprovando la sua conformità fiscale, sicché la stessa rientra nel modello di comportamento descritto nella domanda raggruppata. Si deve dunque concludere che la ricorrente rientra nel modello di comportamento in oggetto 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la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dalla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della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essa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