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A-2407/2023 vom 29. Januar 2024</w:t>
      </w:r>
    </w:p>
    <w:p>
      <w:r>
        <w:t>Bundesverwaltungsgericht, 2024-01-29, DE</w:t>
      </w:r>
    </w:p>
    <w:p>
      <w:r>
        <w:rPr>
          <w:b/>
        </w:rPr>
        <w:t xml:space="preserve">Quelle: </w:t>
      </w:r>
      <w:r>
        <w:t>https://mcp.opencaselaw.ch/entscheid/bvger_A-2407_2023</w:t>
      </w:r>
    </w:p>
    <w:p>
      <w:r>
        <w:t>FR: TAF A-2407/2023 du 29 janvier 2024</w:t>
      </w:r>
    </w:p>
    <w:p>
      <w:r>
        <w:t>IT: TAF A-2407/2023 del 29 gennaio 2024</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stützt.</w:t>
      </w:r>
    </w:p>
    <w:p>
      <w:r>
        <w:rPr>
          <w:b/>
        </w:rPr>
        <w:t>E. 1.2</w:t>
      </w:r>
    </w:p>
    <w:p>
      <w:r>
        <w:t>Das Verfahren richtet sich nach dem Bundegesetz vom 28. September 2012 über die internationale Amtshilfe in Steuersachen (StAhiG; SR 651.1; vgl. Art. 24 StAhiG e contrario). Vorbehalten bleiben abweichende Bestimmungen des im vorliegenden Fall anwendbaren DBA CH-IN (vgl. Art. 1 Abs. 2 StAhiG).</w:t>
      </w:r>
    </w:p>
    <w:p>
      <w:r>
        <w:rPr>
          <w:b/>
        </w:rPr>
        <w:t>E. 1.3</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VwVG.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1.4</w:t>
      </w:r>
    </w:p>
    <w:p>
      <w:r>
        <w:t>Das vorliegende Amtshilfeersuchen wurde vom MoF an die Schweiz gestellt. Die ESTV ist gemäss Art. 2 StAhiG für den Vollzug der Amtshilfe in der Schweiz zuständig. Die ESTV ist also zuständige Behörde und eine gesetzliche Vorinstanz des Bundesverwaltungsgerichts. Die Zuständigkeit des Bundesverwaltungsgerichts zur Behandlung der vorliegenden Beschwerde ist somit gegeben.</w:t>
      </w:r>
    </w:p>
    <w:p>
      <w:r>
        <w:rPr>
          <w:b/>
        </w:rPr>
        <w:t>E. 1.5.1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Auf Rechtsmittel, welche stellvertretend für Dritte bzw. in deren Interesse erhoben werden, ist gemäss bundesgerichtlicher Rechtsprechung nicht einzutreten (vgl. BGE 139 II 404 E. 11.1 und 137 IV 134 E. 5.2.2).</w:t>
      </w:r>
    </w:p>
    <w:p>
      <w:r>
        <w:rPr>
          <w:b/>
        </w:rPr>
        <w:t>E. 1.5.2</w:t>
      </w:r>
    </w:p>
    <w:p>
      <w:r>
        <w:t>Gemäss dem vorliegenden Amtshilfeersuchen führen die indischen Steuerbehörden eine Untersuchung in Bezug auf die betroffene Person durch. Die Beschwerdeführerin ist als beschwerdeberechtigte Person zur Beschwerde legitimiert (Art. 48 Abs. 1 VwVG i.V.m. Art. 19 Abs. 2 StAhiG).</w:t>
      </w:r>
    </w:p>
    <w:p>
      <w:r>
        <w:rPr>
          <w:b/>
        </w:rPr>
        <w:t>E. 1.5.3</w:t>
      </w:r>
    </w:p>
    <w:p>
      <w:r>
        <w:t>Jedoch ist die Beschwerdeführerin nicht legitimiert, die Interessen anderer Drittpersonen zu vertreten. Soweit die Beschwerdeführerin für Drittpersonen Beschwerde erhebt (vgl. Beschwerdeschrift, S. 23), ist darauf folglich nicht einzutreten. Dies betrifft namentlich den Antrag, wonach das Beschwerdeverfahren A-2360/2023 - in welchem nicht die Beschwerdeführerin selbst, sondern die betroffene Person Beschwerde führt - bis zum rechtskräftigen Abschluss des vorliegenden Beschwerdeverfahrens A-2407/2023 zu sistieren sei.</w:t>
      </w:r>
    </w:p>
    <w:p>
      <w:r>
        <w:rPr>
          <w:b/>
        </w:rPr>
        <w:t>E. 1.6</w:t>
      </w:r>
    </w:p>
    <w:p>
      <w:r>
        <w:t>Die Beschwerde wurde im Übrigen form- und fristgerecht eingereicht (Art. 50 Abs. 1 und Art. 52 Abs. 1 VwVG i.V.m. Art. 19 Abs. 5 StAhiG). Auf die Beschwerde ist - unter Vorbehalt des in E. 1.5.3 Ausgeführten - einzutreten.</w:t>
      </w:r>
    </w:p>
    <w:p>
      <w:r>
        <w:rPr>
          <w:b/>
        </w:rPr>
        <w:t>E. 1.7</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2.1</w:t>
      </w:r>
    </w:p>
    <w:p>
      <w:r>
        <w:t>Zunächst ist der (wiederholte) Antrag der Vorinstanz auf Vereinigung des vorliegenden Verfahrens mit dem Verfahren A-2360/2023 zu prüfen.</w:t>
      </w:r>
    </w:p>
    <w:p>
      <w:r>
        <w:rPr>
          <w:b/>
        </w:rPr>
        <w:t>E. 2.2</w:t>
      </w:r>
    </w:p>
    <w:p>
      <w:r>
        <w:t>Die Vorinstanz trägt vor, es bestünden keine Geheimhaltungsinteressen der Beschwerdeführerin, die einer Verfahrensvereinigung entgegenstünden. Aus prozessökonomischen Gründen seien die Verfahren zu vereinigen.</w:t>
      </w:r>
    </w:p>
    <w:p>
      <w:r>
        <w:rPr>
          <w:b/>
        </w:rPr>
        <w:t>E. 2.3</w:t>
      </w:r>
    </w:p>
    <w:p>
      <w:r>
        <w:t>Die Beschwerdeführerin ist mit einer Verfahrensvereinigung nicht einverstanden.</w:t>
      </w:r>
    </w:p>
    <w:p>
      <w:r>
        <w:rPr>
          <w:b/>
        </w:rPr>
        <w:t>E. 2.4</w:t>
      </w:r>
    </w:p>
    <w:p>
      <w:r>
        <w:t>Die Frage der Verfahrensvereinigung steht im Ermessen des Gerichts, wobei aus prozessökonomischen Gründen ein Verfahren möglichst einfach, rasch und zweckmässig erledigt werden soll (BGE 131 V 222 E. 1; Urteil des BVGer A-849/2014 vom 15. Juli 2015 E. 1.2; Moser/Beusch/Kneubühler/Kayser, Prozessieren vor dem Bundesverwaltungsgericht, 3. Aufl. 2022, Rz. 3.17)</w:t>
      </w:r>
    </w:p>
    <w:p>
      <w:r>
        <w:rPr>
          <w:b/>
        </w:rPr>
        <w:t>E. 2.5</w:t>
      </w:r>
    </w:p>
    <w:p>
      <w:r>
        <w:t>In der angefochtenen Schlussverfügung vom 30. März 2023 wird im Rubrum nur die formell betroffene Person genannt. Die Vorinstanz erliess in gleicher Sache auch eine weitere Schlussverfügung gegenüber der beschwerdeberechtigten Person bzw. Beschwerdeführerin im vorliegenden Verfahren. Zwar liegt den erwähnten Schlussverfügungen dasselbe Amtshilfeersuchen des MoF zugrunde, die separate Eröffnung von Schlussverfügungen an die in ein Amtshilfeverfahren involvierten Personen entspricht jedoch dem in Art. 17 Abs. 1 StAhiG vorgesehenen Vorgehen und liegt in allfälligen gegenseitigen Geheimhaltungsinteressen begründet (Urteil des BVGer A-6074/2019 vom 8. September 2021 E. 1.3 m.w.H.). Diese Geheimhaltungsinteressen werden denn auch von der Beschwerdeführerin geltend gemacht und können vorliegend nicht ganz ausgeschlossen werden. Die beim Bundesverwaltungsgericht hängigen Verfahren betreffen wie dargelegt nicht (nur) die betroffene Person, sondern auch eine weitere juristische Person (die Beschwerdeführerin). Es liegt zwar auf der Hand, dass sich in beiden Verfahren überwiegend gleiche Rechtsfragen stellen, jedoch ist unabhängig davon, ob ein oder zwei Entscheide gefällt werden, auf alle Rügen der Parteien detailliert einzugehen, weshalb keine wesentliche Verfahrensvereinfachung zu erwarten ist. Auch aus Sicht des Beschleunigungsgebots wäre durch eine Verfahrensvereinigung vorliegend keine zusätzliche Zeitersparnis zu erwarten, da die Vereinigung zu einem sehr späten Zeitpunkt im Verfahren erfolgen würde. Somit erweist es sich für das Bundesverwaltungsgericht als effizienter, die Verfahren getrennt zu führen und auf eine Vereinigung zu verzichten.</w:t>
      </w:r>
    </w:p>
    <w:p>
      <w:r>
        <w:rPr>
          <w:b/>
        </w:rPr>
        <w:t>E. 3.1.1</w:t>
      </w:r>
    </w:p>
    <w:p>
      <w:r>
        <w:t>Die Amtshilfeklausel von Art. 26 DBA CH-IN in der (aktuellen) Fassung gemäss dem Änderungsprotokoll ist bei Amtshilfeersuchen Indiens anwendbar auf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(nachfolgend: OECD-MA).</w:t>
      </w:r>
    </w:p>
    <w:p>
      <w:r>
        <w:rPr>
          <w:b/>
        </w:rPr>
        <w:t>E. 3.1.2</w:t>
      </w:r>
    </w:p>
    <w:p>
      <w:r>
        <w:t>Das Ersuchen eines ausländischen Staates muss schriftlich in einer schweizerischen Amtssprache oder in Englisch gestellt werden und die im anwendbaren Abkommen vorgesehenen Angaben enthalten (Art. 6 Abs. 1 StAhiG).</w:t>
      </w:r>
    </w:p>
    <w:p>
      <w:r>
        <w:rPr>
          <w:b/>
        </w:rPr>
        <w:t>E. 3.2.1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3.2.2</w:t>
      </w:r>
    </w:p>
    <w:p>
      <w:r>
        <w:t>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(SR 0.111, VRK).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(betreffend die Nichteintretensfolge) eine eigenständige Bedeutung zukommt (vgl. zum Ganzen BGE 143 II 224 E. 6.2; Urteil des BGer 2C_141/2018 vom 24. Juli 2020 E. 6.2.2).</w:t>
      </w:r>
    </w:p>
    <w:p>
      <w:r>
        <w:rPr>
          <w:b/>
        </w:rPr>
        <w:t>E. 3.2.3</w:t>
      </w:r>
    </w:p>
    <w:p>
      <w:r>
        <w:t>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2020 E. 6.2; 2C_1013/2019 vom 16. Dezember 2019 E. 2; 2C_619/2018 vom 21. Dezember 2018 E. 2.3; 2C_88/2018 vom 7. Dezember 2018 E. 5.3 f.; 2C_819/2017 vom 2. August 2018 E. 2.2.2 f.; 2C_648/2017 vom 17. Juli 2018 E. 2.3). Damit können selbstredend auch andere Gründe als die vorgenannten ein Verhalten des ersuchenden Staates als treuwidrig erscheinen lassen (vgl. dazu etwa Urteil des BGer 2C_648/2017 vom 17. Juli 2018 E. 3 ff.).</w:t>
      </w:r>
    </w:p>
    <w:p>
      <w:r>
        <w:rPr>
          <w:b/>
        </w:rPr>
        <w:t>E. 3.3.1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A-672/2020 vom 3. März 2021 E. 2.2.1).</w:t>
      </w:r>
    </w:p>
    <w:p>
      <w:r>
        <w:rPr>
          <w:b/>
        </w:rPr>
        <w:t>E. 3.3.2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 (Urteil des BVGer A-672/2020 vom 3. März 2021 E. 2.2.2).</w:t>
      </w:r>
    </w:p>
    <w:p>
      <w:r>
        <w:rPr>
          <w:b/>
        </w:rPr>
        <w:t>E. 3.3.3</w:t>
      </w:r>
    </w:p>
    <w:p>
      <w:r>
        <w:t>Das Verbot der Beweisausforschung ist Ausdruck des Verhältnismässigkeitsgrundsatzes (Art. 5 Abs. 2 der Bundesverfassung der Schweizerischen Eidgenossenschaft vom 18. April 1999 [BV, SR 101]).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 Das Vorliegen einer «fishing expedition» ist im Grundsatz ausgeschlossen, wenn ein Amtshilfeersuchen alle Angaben enthält, welche nach dem anwendbaren Abkommen erforderlich sind (Urteil des BGer 2C_953/2020 vom 24. November 2021 E. 3.3 m.w.H.).</w:t>
      </w:r>
    </w:p>
    <w:p>
      <w:r>
        <w:rPr>
          <w:b/>
        </w:rPr>
        <w:t>E. 3.3.4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 vgl. zum Ganzen auch Urteil des BVGer A-672/2020 vom 3. März 2021 E. 2.2.4 m.w.H).</w:t>
      </w:r>
    </w:p>
    <w:p>
      <w:r>
        <w:rPr>
          <w:b/>
        </w:rPr>
        <w:t>E. 3.3.5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A-672/2020 vom 3. März 2021 E. 2.2.5 m.w.H).</w:t>
      </w:r>
    </w:p>
    <w:p>
      <w:r>
        <w:rPr>
          <w:b/>
        </w:rPr>
        <w:t>E. 3.3.6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A-672/2020 vom 3. März 2021 E. 2.2.6 m.w.H). Rechtsprechungsgemäss ist der Begriff der «nicht betroffenen Person» nach Art. 4 Abs. 3 StAhiG im Lichte des Zwecks des OECD-Standards und des Kriteriums der voraussichtlichen Erheblichkeit zu prüfen. Die Bestimmung ist restriktiv auszulegen, sodass ihre Anwendung nicht dazu führt, dass das Amtshilfeersuchen seine Tragweite verliert, sondern - unter Vorbehalt von fishing expeditions - einen möglichst umfassenden Informationsaustausch ermöglicht (vgl. BGE 142 II 161 E. 4.6.1 f. m.w.H.). In Anwendung des Verhältnismässigkeitsprinzips sollen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w:t>
      </w:r>
    </w:p>
    <w:p>
      <w:r>
        <w:rPr>
          <w:b/>
        </w:rPr>
        <w:t>E. 3.4.1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A-672/2020 vom 3. März 2021 E. 2.3.1 m.w.H).</w:t>
      </w:r>
    </w:p>
    <w:p>
      <w:r>
        <w:rPr>
          <w:b/>
        </w:rPr>
        <w:t>E. 3.4.2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A-6666/2014 vom 19. April 2016 E. 2.4 m.w.H.).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Urteile des BVGer A-2454/2017 vom 7. Juni 2018 E. 2.3; A-7496/2016 vom 27. April 2018 E. 4.6.6; A-2915/2016 vom 4. April 2017 E. 3.3.2; A-4157/2016 vom 15. März 2017 E. 3.5.4).</w:t>
      </w:r>
    </w:p>
    <w:p>
      <w:r>
        <w:rPr>
          <w:b/>
        </w:rPr>
        <w:t>E. 3.5.1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3.5.2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oder die Erhebung von Strafzahlungen im Zusammenhang mit Steuern). Damit bildet die Übermittlung von Informationen zur Strafverfolgung bei Steuerdelikten (einen möglichen) Sinn der Amtshilfe nach Art. 26 DBA CH-IN (vgl. zum Ganzen Urteil des BGer 2C_542/2018 vom 10. März 2021 E. 2.6 sowie Urteile des BVGer A-837/2019 vom 10. Juli 2019 E. 5.3.3.2; A-778/2017 vom 5. Juli 2017 E. 4.3.3).</w:t>
      </w:r>
    </w:p>
    <w:p>
      <w:r>
        <w:rPr>
          <w:b/>
        </w:rPr>
        <w:t>E. 3.5.3</w:t>
      </w:r>
    </w:p>
    <w:p>
      <w:r>
        <w:t>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BVGE 2019 I/8 E. 6.2.2; zum Ganzen Urteil des BVGer A-672/2020 vom 3. März 2021 E. 2.3.2 m.w.H).</w:t>
      </w:r>
    </w:p>
    <w:p>
      <w:r>
        <w:rPr>
          <w:b/>
        </w:rPr>
        <w:t>E. 3.5.4</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m.w.H.; zum Ganzen Urteil des BVGer A-672/2020 vom 3. März 2021 E. 2.4.2 m.w.H). Auch das Bundesgericht bestätigte - insbesondere mit Urteil 2C_537/2019 vom 13. Juli 2020 -, dass das Spezialitätsprinzip nicht nur eine sachliche, sondern auch eine persönliche Dimension aufweist (vgl. E. 3.1 ff. des genannten Urteils sowie ferner etwa das Urteil des BVGer A-672/2020 vom 3. März 2021 E. 2.2.4 m.w.H).</w:t>
      </w:r>
    </w:p>
    <w:p>
      <w:r>
        <w:rPr>
          <w:b/>
        </w:rPr>
        <w:t>E. 3.6.1</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3.6.2</w:t>
      </w:r>
    </w:p>
    <w:p>
      <w:r>
        <w:t>Das Bundesverwaltungsgericht hat in seinem Urteil A-7956/2016 vom 8. November 2017 E. 4.4.4 festgehalten, dass die Vereinbarung von Amtshilfeklauseln ein politischer Entscheid sei, den die Gerichte grundsätzlich zu akzeptieren haben (vgl. auch Art. 190 BV). In diesem Sinne ist die Amtshilfe gestützt auf den Ordre public nur in extremen Fällen zu verweigern (vgl. Urteil des BVGer A-3407/2017 vom 20. August 2018 E. 2.9.3 f. m.w.H.),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 Das Bundesgericht ist in seinem Urteil 2C_619/2018 vom 21. Dezember 2018 E. 4.2 zum gleichen Schluss gekommen.</w:t>
      </w:r>
    </w:p>
    <w:p>
      <w:r>
        <w:rPr>
          <w:b/>
        </w:rPr>
        <w:t>E. 3.6.3</w:t>
      </w:r>
    </w:p>
    <w:p>
      <w:r>
        <w:t>Wie das Bundesgericht in einem neueren Urteil festgehalten hat, ist auch ein Amtshilfegesuch, welches ausschliesslich der Informationsbeschaffung im Hinblick auf eine Sanktionierung der im Amtshilfegesuch avisierten Steuerpflichtigen dient, zulässig (Urteil 2C_780/2018 vom 1. Februar 2021 E. 3.7.1 und 3.7.2). Somit kann das strafrechtliche Rückwirkungsverbot als Teil des Ordre public der Leistung von Amtshilfe entgegenstehen, wenn diese (auch) zugunsten eines Steuerstrafverfahrens erfolgt. Vom strafrechtlichen Rückwirkungsverbot von vornherein unberührt bleiben verwaltungsrechtliche, insbesondere Veranlagungs- und Nachsteuerverfahren (Urteil 2C_750/2020 vom 25. März 2021 E. 7.3). Zu beachten ist auch, dass das Spezialitätsprinzip bereits garantiert, dass die amtshilfeweise übermittelten Informationen nicht zu strafrechtlichen Zwecken ausserhalb der Steueramtshilfe verwendet werden (Urteil 2C_750/2020 vom 25. März 2021 E. 8.3)</w:t>
      </w:r>
    </w:p>
    <w:p>
      <w:r>
        <w:rPr>
          <w:b/>
        </w:rPr>
        <w:t>E. 4</w:t>
      </w:r>
    </w:p>
    <w:p>
      <w:r>
        <w:t>Im vorliegenden Fall ist zu prüfen, ob die Voraussetzungen zur Gewährung der Amtshilfe gegeben sind. Zunächst argumentiert die Beschwerdeführerin, dass sich das Amtshilfeersuchen nicht auf genügende Informationen stütze und kein Bezug zur Beschwerdeführerin glaubhaft gemacht werden konnte (E. 4.1 nachfolgend). Sodann ist zu prüfen, ob die zu übermittelnden Informationen voraussichtlich erheblich sind (E. 4.2 nachfolgend) und ob die beabsichtigte Informationsübermittlung nicht über das Amtshilfeersuchen hinausgeht (E. 4.3).</w:t>
      </w:r>
    </w:p>
    <w:p>
      <w:r>
        <w:rPr>
          <w:b/>
        </w:rPr>
        <w:t>E. 4.1.1</w:t>
      </w:r>
    </w:p>
    <w:p>
      <w:r>
        <w:t>Die Beschwerdeführerin argumentiert, dass das MoF das Amtshilfeersuchen auf Informationen stütze, die widersprüchlich, unklar, unvollständig und nicht glaubhaft seien und dass kein Bezug zur betroffenen Person nachgewiesen sei. Aufgrund der (unzureichenden) Angaben des MoF habe die Vorinstanz unzutreffende Annahmen gemacht. Es bestehe keine finanzielle Beziehung der Beschwerdeführerin zu der betroffenen Person oder anderen in den Beilagen genannten Personen oder mit diesen verbundenen Gesellschaften. Es sei ausgewiesen, dass nicht die betroffene Person, sondern indische Staatsbürger mit Wohnsitz in Bahrain die wirtschaftlich Berechtigten an der Beschwerdeführerin seien. Das MoF habe denn auch widersprüchliche Informationen geliefert, als es an einer Stelle vorgetragen habe, die betroffene Person sei wirtschaftlich berechtigt und an anderer Stelle ausgeführt habe, dass in Indien steuerpflichtige Personen wirtschaftlich berechtigt an den Konten der Beschwerdeführerin seien. Es sei eine unzutreffende Annahme, dass der beschlagnahmte Datenträger bei der betroffenen Person gefunden worden sei. Die Verbindung zwischen den beiden Excel-Arbeitsblättern bzw. -mappen («[...]» und «[...]») sei nicht glaubhaft gemacht und nicht nachvollziehbar dargelegt worden. Die E-Mail ID, von welcher die Zahlungsanweisung erfolgt sei, gehöre zu einer unbeteiligten Drittperson (H._______) und nicht - wie vom MoF behauptet - zum Bruder der betroffenen Person. Folglich handle es sich um eine unzutreffende Annahme, dass die betroffene Person über eine Weisungsbefugnis über die Beschwerdeführerin verfügt habe.</w:t>
      </w:r>
    </w:p>
    <w:p>
      <w:r>
        <w:rPr>
          <w:b/>
        </w:rPr>
        <w:t>E. 4.1.2</w:t>
      </w:r>
    </w:p>
    <w:p>
      <w:r>
        <w:t>Die Vorinstanz hält fest, auf die Sachverhaltsdarstellung im Amtshilfeersuchen sei aufgrund des völkerrechtlichen Vertrauensprinzips abzustellen. Die Beschwerdeführerin habe den dargestellten Sachverhalt nicht mittels Urkunden zu widerlegen vermocht, ein Beweisverfahren mit Untersuchungshandlungen sei nicht vorzunehmen. Die Beschwerdeführerin habe es denn auch unterlassen, im Rahmen des Verfahrens vor der Vorinstanz (nach erfolgter Akteneinsicht) eine Stellungnahme einzureichen. Es sei der Beschwerdeführerin insgesamt nicht gelungen, mit ihren Ausführungen die Verbindung zu sich, der betroffenen Person und der genannten Drittperson zu verneinen oder den hier betroffenen Sachverhalt klarerweise und entscheidend zu widerlegen.</w:t>
      </w:r>
    </w:p>
    <w:p>
      <w:r>
        <w:rPr>
          <w:b/>
        </w:rPr>
        <w:t>E. 4.1.3</w:t>
      </w:r>
    </w:p>
    <w:p>
      <w:r>
        <w:t>Aufgrund der Sachverhaltsdarstellung des MoF ergeben sich keine Hinweise darauf, dass der USB-Stick mit den dem Amtshilfeersuchen zugrundeliegenden Daten (vgl. Sachverhalt Bst. A.b.) aus einer strafbaren Handlung herrührt. Diesbezüglich ist gestützt auf das völkerrechtliche Vertrauensprinzip auf die Sachverhaltsdarstellung des ersuchenden Staates abzustellen (vgl. E. 3.4.1). Die Beschwerdeführerin vermag nicht, diese Sachverhaltsdarstellung in Zweifel zu ziehen, wobei es vorliegend letztlich unerheblich ist, wo genau der USB-Stick gefunden wurde, solange dieser nicht durch eine strafbare Handlung, respektive treuwidrig erlangt wurde (vgl. E. 3.2.1 ff.). Die Verbindung zwischen der Beschwerdeführerin und der betroffenen Person wurde über die Drittperson (D._______) hergeleitet und ergibt sich aus der Übereinstimmung der bei diesen unabhängig voneinander gefundenen Daten und ist damit hinreichend plausibel dargelegt. Die Tatsache, dass eine Transaktionsanweisung von einem anderen E-Mail-Konto aus erfolgte, vermag die Verbindung zwischen der Beschwerdeführerin und der betroffenen Person nicht zu widerlegen. Dabei ist letztlich auch unerheblich, ob die Anweisung vom E-Mail-Konto des Bruders der betroffenen Person oder von einer weiteren Drittperson (H._______) aus erfolgte. Die ersuchende Behörde legte glaubhaft dar, dass die betroffene Person eine verdeckte Weisungsbefugnis hatte. Daraus folgt gerade auch, dass es plausibel erscheint, dass andere Drittpersonen Aufträge für die betroffene Person erteilen und diese selbst nicht in Erscheinung tritt. Die ersuchende Behörde hat dabei, entgegen der Ausführungen der Beschwerdeführerin, auch nicht alle ermittelten Sachverhaltselemente mit Beweismitteln zu belegen. Die Ausführungen des MoF betreffend die verdeckte wirtschaftliche Berechtigung der betroffenen Person in Bezug auf die Beschwerdeführerin sind insgesamt plausibel. Die Beschwerdeführerin vermag es unter Berücksichtigung des völkerrechtlichen Vertrauensprinzips jedenfalls nicht, die Sachverhaltsdarstellung des MoF in Zweifel zu ziehen.</w:t>
      </w:r>
    </w:p>
    <w:p>
      <w:r>
        <w:rPr>
          <w:b/>
        </w:rPr>
        <w:t>E. 4.1.4</w:t>
      </w:r>
    </w:p>
    <w:p>
      <w:r>
        <w:t>Somit verstösst das Ersuchen nicht gegen Treu und Glauben und basiert auf hinreichend genauen Informationen. Es ist nicht ersichtlich, dass sich das MoF auf rechtswidrig erlangte Quellen stützt oder von offensichtlich unrichtigen Tatsachen ausgeht.</w:t>
      </w:r>
    </w:p>
    <w:p>
      <w:r>
        <w:rPr>
          <w:b/>
        </w:rPr>
        <w:t>E. 4.2.1</w:t>
      </w:r>
    </w:p>
    <w:p>
      <w:r>
        <w:t>Betreffend die voraussichtliche Erheblichkeit trägt die Beschwerdeführerin zusammengefasst vor, der Sachverhalt und die Begründung, welche die ersuchende Behörde dargelegt habe, genüge nicht, um hinreichende Verdachtsmomente betreffend Durchsetzung des indischen Steuerrechts gegen die betroffene Person darzutun.</w:t>
      </w:r>
    </w:p>
    <w:p>
      <w:r>
        <w:rPr>
          <w:b/>
        </w:rPr>
        <w:t>E. 4.2.2</w:t>
      </w:r>
    </w:p>
    <w:p>
      <w:r>
        <w:t>Die Vorinstanz erklärt, es sei ein möglichst umfassender Informationsaustausch zu gewähren, die Rolle des ersuchten Staates beschränke sich darauf, zu überprüfen, ob die vom ersuchenden Staat verlangten Informationen und Dokumente einen Zusammenhang mit dem im Ersuchen dargestellten Sachverhalt aufwiesen und ob sie möglicherweise dazu geeignet seien, im ausländischen Verfahren verwendet zu werden. Es bestehe ein klarer Konnex zwischen der betroffenen Person und dem Bankkonto der Beschwerdeführerin, sodass diese auch nicht rein zufällig in den Unterlagen auftauche. Aufgrund der Information könne das MoF ihre Vermutungen bestätigen oder entkräften, sodass es auch nicht darauf ankomme, ob der Name der betroffenen Person in den Dokumenten auftauche.</w:t>
      </w:r>
    </w:p>
    <w:p>
      <w:r>
        <w:rPr>
          <w:b/>
        </w:rPr>
        <w:t>E. 4.2.3</w:t>
      </w:r>
    </w:p>
    <w:p>
      <w:r>
        <w:t>Das MoF hat in seiner Sachverhaltsdarstellung einen glaubhaften Zusammenhang zwischen der betroffenen Person und der Beschwerdeführerin aufgezeigt. Der Verdacht, dass die betroffene Person verdeckt handelte und nicht selbst persönlich in Erscheinung trat, legt denn auch nahe, dass ihr Name in den Dokumenten nicht zu finden ist. Daraus folgt jedoch nicht, dass die Informationen für das indische Steuerverfahren nicht voraussichtlich erheblich wären. Die Erheblichkeit kann nur der ersuchende Staat abschliessen beurteilen (vgl. E. 3.3.4). Die indischen Behörden haben voraussichtlich auch ein Interesse an den Informationen, selbst wenn sich der ermittelte Sachverhalt nicht bestätigt, da dies dennoch einen wesentlichen Erkenntnisgewinn bedeutet. Der dargestellte Sachverhalt und insbesondere die Verbindung zwischen der betroffenen Person und der Beschwerdeführerin erscheint vorliegend jedenfalls plausibel. Eine «fishing expedition» ist denn auch grundsätzlich ausgeschlossen, wenn das Amtshilfeersuchen alle erforderlichen Angaben enthält (vgl. E. 3.3.3). Dies ist vorliegend der Fall. Das MoF legte dar, dass die Informationen relevant seien, um die Einkommenssteuer der betroffenen Person im relevanten Zeitraum zu ermitteln (act. 1 [Amtshilfeersuchen, Ziff. 10]). Auf diese Ausführung ist abzustellen.</w:t>
      </w:r>
    </w:p>
    <w:p>
      <w:r>
        <w:rPr>
          <w:b/>
        </w:rPr>
        <w:t>E. 4.2.4</w:t>
      </w:r>
    </w:p>
    <w:p>
      <w:r>
        <w:t>Als Zwischenergebnis kann festgehalten werden, dass die mit dem Amtshilfeersuchen des MoF verlangten Daten voraussichtlich erheblich sind.</w:t>
      </w:r>
    </w:p>
    <w:p>
      <w:r>
        <w:rPr>
          <w:b/>
        </w:rPr>
        <w:t>E. 4.3.1</w:t>
      </w:r>
    </w:p>
    <w:p>
      <w:r>
        <w:t>Die Beschwerdeführerin trägt sodann vor, der beabsichtigte Informationsaustausch gehe über das Amtshilfeersuchen hinaus, da auch nicht begehrte Informationen übermittelt werden sollen und verletze damit das Verbot des spontanen Informationsaustausches.</w:t>
      </w:r>
    </w:p>
    <w:p>
      <w:r>
        <w:rPr>
          <w:b/>
        </w:rPr>
        <w:t>E. 4.3.2</w:t>
      </w:r>
    </w:p>
    <w:p>
      <w:r>
        <w:t>Die Vorinstanz führt aus, die Beschwerdeführerin mache Drittinteressen geltend, wofür sie nicht legitimiert sei. Mit dem beabsichtigten Austausch würden darüber hinaus nicht mehr Informationen übermittelt, als die indische Behörde tatsächlich ersucht habe. Da die Informationen voraussichtlich erheblich seien, seien diese vollständig zu übermitteln.</w:t>
      </w:r>
    </w:p>
    <w:p>
      <w:r>
        <w:rPr>
          <w:b/>
        </w:rPr>
        <w:t>E. 4.3.3</w:t>
      </w:r>
    </w:p>
    <w:p>
      <w:r>
        <w:t>Auf die Geltendmachung von Drittinteressen ist mangels Legitimation nicht einzutreten (vgl. E. 1.5.3). Im Übrigen trägt die Vorinstanz zutreffend vor, dass das MoF um sämtliche Informationen betreffend die Konto-Transaktionen der Beschwerdeführerin mit der betroffenen Person, bekannten Drittpersonen und verbundenen Einheiten («related entities») ersucht hat. Aus dieser Formulierung folgt, dass Informationen über alle Transaktionen der Beschwerdeführerin mit anderen Personen (natürliche und juristische) begehrt werden. Aufgrund der gerichtsbekannten weitreichenden Verflechtungen der betroffenen Person mit zahlreichen Unternehmungen erscheint dieses Begehren auch nachvollziehbar, insbesondere auch, da das Vorliegen einer «fishing expedition» zu verneinen ist (vgl. E. 3.3.2 f. und E. 4.2.3). Folglich geht der beabsichtigte Informationsaustusch nicht über das Amtshilfeersuchen hinaus und es liegt damit auch keine verbotene spontane Amtshilfe vor.</w:t>
      </w:r>
    </w:p>
    <w:p>
      <w:r>
        <w:rPr>
          <w:b/>
        </w:rPr>
        <w:t>E. 4.4</w:t>
      </w:r>
    </w:p>
    <w:p>
      <w:r>
        <w:t>Die Beschwerde ist mithin vollumfänglich abzuweisen, soweit darauf einzutreten ist (vgl. E. 1.5.3).</w:t>
      </w:r>
    </w:p>
    <w:p>
      <w:r>
        <w:rPr>
          <w:b/>
        </w:rPr>
        <w:t>E. 5.1</w:t>
      </w:r>
    </w:p>
    <w:p>
      <w:r>
        <w:t>Ausgangsgemäss sind die Verfahrenskosten der Beschwerdeführerin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