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A-2363/2009 vom 23. Juni 2010</w:t>
      </w:r>
    </w:p>
    <w:p>
      <w:r>
        <w:t>Bundesverwaltungsgericht, 2010-06-23, FR</w:t>
      </w:r>
    </w:p>
    <w:p>
      <w:r>
        <w:rPr>
          <w:b/>
        </w:rPr>
        <w:t xml:space="preserve">Quelle: </w:t>
      </w:r>
      <w:r>
        <w:t>https://mcp.opencaselaw.ch/entscheid/bvger_A-2363_2009</w:t>
      </w:r>
    </w:p>
    <w:p>
      <w:r>
        <w:t>FR: TAF A-2363/2009 du 23 juin 2010</w:t>
      </w:r>
    </w:p>
    <w:p>
      <w:r>
        <w:t>IT: TAF A-2363/2009 del 23 giugno 2010</w:t>
      </w:r>
    </w:p>
    <w:p>
      <w:pPr>
        <w:pStyle w:val="Heading2"/>
      </w:pPr>
      <w:r>
        <w:t>Regeste</w:t>
      </w:r>
    </w:p>
    <w:p>
      <w:r>
        <w:t>Installations intérieures</w:t>
      </w:r>
    </w:p>
    <w:p>
      <w:pPr>
        <w:pStyle w:val="Heading2"/>
      </w:pPr>
      <w:r>
        <w:t>Erwägungen</w:t>
      </w:r>
    </w:p>
    <w:p>
      <w:r>
        <w:rPr>
          <w:b/>
        </w:rPr>
        <w:t>E. 1</w:t>
      </w:r>
    </w:p>
    <w:p>
      <w:r>
        <w:t>Sous réserve des exceptions prévues à l'art. 32 de la loi du 17 juin 2005 sur le Tribunal administratif fédéral (LTAF, RS 173.32), la juridiction de céans, en vertu de l'art. 31 LTAF, connaît des recours contre les décisions au sens de l'art. 5 de la loi fédérale du 20 décembre 1968 sur la procédure administrative (PA, RS 172.021) prises par les autorités mentionnées aux art. 33 et 34 LTAF. L'IFICF, organe de contrôle des installations électriques à courant fort rattaché à l'Office fédéral de l'énergie, est une autorité précédente au Tribunal administratif fédéral au sens de l'art. 33 let. d LTAF. Au demeurant, l'art. 23 de la loi sur les installations électriques du 24 juin 1902 (LIE, RS 734.0) mentionne expressément le Tribunal administratif fédéral comme autorité de recours contre les décisions de cette autorité. La décision attaquée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Le recourant remplit à cet égard les conditions posées par l'art. 48 al. 1 PA s'agissant de sa qualité au recours, lequel, interjeté dans les forme et délai prescrits (cf. art. 50 ss PA), est donc recevable.</w:t>
      </w:r>
    </w:p>
    <w:p>
      <w:r>
        <w:rPr>
          <w:b/>
        </w:rPr>
        <w:t>E. 2</w:t>
      </w:r>
    </w:p>
    <w:p>
      <w:r>
        <w:t>De manière générale, le Tribunal administratif fédéral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 Il fait cependant preuve d'une certaine retenue dans l'exercice de son libre pouvoir d'examen lorsque la nature des questions litigieuses qui lui sont soumises l'exige. C'est en particulier le cas lorsque celles-ci sont techniques, nécessitent des connaissances spéciales ou encore lorsqu'il s'agit d'apprécier des questions liées à la sécurité (cf. arrêt du Tribunal administratif fédéral A-3342/2009 du 7 juillet 2009 consid. 2).</w:t>
      </w:r>
    </w:p>
    <w:p>
      <w:r>
        <w:rPr>
          <w:b/>
        </w:rPr>
        <w:t>E. 3</w:t>
      </w:r>
    </w:p>
    <w:p>
      <w:r>
        <w:t>Le présent litige revient à examiner si l'autorité inférieure était en droit d'ordonner au recourant, par décision du 20 mars 2009, de transmettre à l'exploitant de réseau, dans un délai échéant le 20 mai 2009, un rapport de sécurité afférent aux installations électriques dont il est propriétaire, et à lui imposer un émolument de 500.- francs pour le prononcé de cette décision.</w:t>
      </w:r>
    </w:p>
    <w:p>
      <w:r>
        <w:rPr>
          <w:b/>
        </w:rPr>
        <w:t>E. 4</w:t>
      </w:r>
    </w:p>
    <w:p>
      <w:r>
        <w:t>Aux termes de l'art. 5 al. 1 de l'ordonnance sur les installations à basse tension du 7 novembre 2001 (OIBT, RS 734.27), qui trouve son fondement à l'art. 20 al. 1 LIE, le propriétaire d'une installation électrique (ou un représentant désigné par lui) veille à ce que son installation réponde en tout temps aux exigences figurant aux art. 3 (exigences de sécurité) et 4 OIBT (lutte contre les perturbations). Dans ce but, l'OIBT impose notamment un contrôle périodique des installations électriques (art. 32 al. 4 et 36 OIBT). Ainsi, six mois au moins avant l'expiration d'une période de contrôle (tous les 1, 5, 10 ou 20 ans selon le type d'installation;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procèdera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l'IFICF, qui relancera à son tour le responsable et ordonnera cas échéant les mesures nécessaires (cf. art. 34 al. 1 et 36 al. 3 OIBT).</w:t>
      </w:r>
    </w:p>
    <w:p>
      <w:r>
        <w:rPr>
          <w:b/>
        </w:rPr>
        <w:t>E. 5</w:t>
      </w:r>
    </w:p>
    <w:p>
      <w:r>
        <w:t>Le recourant ne conteste pas être soumis à l'obligation de produire un rapport de sécurité pour les installations électriques dont il est propriétaire. Il admet aussi ne pas avoir rempli son obligation dans l'ultime délai imparti par l'autorité inférieure (10 février 2009). Il soutient cependant ne pas pouvoir être tenu pour responsable de cette situation, ceci car son électricien (E._______) a remis un rapport de sécurité le 18 novembre 2008 à l'organe de contrôle T._______ et que c'est cet organe qui n'a pas transmis plus loin ce rapport. Ce "report" de responsabilité sur un tiers ne peut cependant pas être admis. En effet, c'est bel et bien le propriétaire d'une installation électrique qui est responsable de l'envoi du rapport de sécurité dans le délai imparti (art. 5 al. 1 deuxième phrase en relation avec l'art. 36 al. 1 OIBT). En cas d'inexécution ou d'exécution tardive de cette obligation, il doit en assumer seul les conséquences (cf. arrêts du Tribunal administratif fédéral A-7151/2008 du 10 février 2009 consid. 3.2 et A-7007/2008 du 24 février 2009 consid. 4). En l'occurrence, il est établi et non contesté que le recourant n'a pas satisfait à son obligation légale de présenter le rapport de sécurité dans l'ultime délai imparti par l'autorité inférieure (10 février 2009), ce malgré les courriers du 25 avril 2006, 12 décembre 2006 (premier rappel) et 25 septembre 2007 (second rappel) qui lui furent précédemment adressés par Romande Energie SA. Ce n'est d'ailleurs qu'après notification de la décision attaquée que les rapports de sécurité furent finalement remis, comme en attestent les courriels que Romande Energie SA a adressés à l'autorité inférieure en dates des 2 avril 2009 (relatif à l'installation technique 30008874) et 14 avril 2009 (relatif à l'installation technique 30008875). C'est donc à bon droit que, le 20 mars 2009, l'autorité inférieure a rendu une décision soumise à des émoluments s'élevant à 500.- francs, comme elle l'avait annoncé précédemment dans son courrier du 10 novembre 2008 qui ordonnait au recourant de transmettre le rapport manquant à l'exploitant de réseau jusqu'au 10 février 2009. Le recours doit donc être considéré comme infondé. Il en découle qu'il n'y a pas lieu d'examiner sur quoi porte exactement le rapport remis en annexe au recours et qui se rapporte à un numéro de compteur (71983) différent de ceux concernés par la décision attaquée (888248 et 890653), pas plus qu'il n'y a lieu d'examiner la responsabilité éventuelle des locataires des locaux concernés.</w:t>
      </w:r>
    </w:p>
    <w:p>
      <w:r>
        <w:rPr>
          <w:b/>
        </w:rPr>
        <w:t>E. 6</w:t>
      </w:r>
    </w:p>
    <w:p>
      <w:r>
        <w:t>Au vu de ce qui précède, le recours doit être rejeté et la décision attaquée confirmée. Dans cette décision, l'autorité inférieure a imparti au recourant un délai échéant le 20 mai 2009 pour transmettre à l'exploitant de réseau le rapport de sécurité relatif au bâtiment sis _______. Ce délai est bien évidemment échu au moment du présent arrêt. Le recourant ayant cependant finalement transmis le rapport de sécurité des installations techniques 30008874 et 30008875 (cf. courriels de Romande Energie SA à l'autorité inférieure des 2 et 14 avril 2009), il n'y a pas lieu de déterminer un nouveau délai pour ce faire.</w:t>
      </w:r>
    </w:p>
    <w:p>
      <w:r>
        <w:rPr>
          <w:b/>
        </w:rPr>
        <w:t>E. 7</w:t>
      </w:r>
    </w:p>
    <w:p>
      <w:r>
        <w:t>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d'emblée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