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A-2317/2017 vom 19. Dezember 2017</w:t>
      </w:r>
    </w:p>
    <w:p>
      <w:r>
        <w:t>Bundesverwaltungsgericht, 2017-12-19, FR</w:t>
      </w:r>
    </w:p>
    <w:p>
      <w:r>
        <w:rPr>
          <w:b/>
        </w:rPr>
        <w:t xml:space="preserve">Quelle: </w:t>
      </w:r>
      <w:r>
        <w:t>https://mcp.opencaselaw.ch/entscheid/bvger_A-2317_2017</w:t>
      </w:r>
    </w:p>
    <w:p>
      <w:r>
        <w:t>FR: TAF A-2317/2017 du 19 décembre 2017</w:t>
      </w:r>
    </w:p>
    <w:p>
      <w:r>
        <w:t>IT: TAF A-2317/2017 del 19 dicembre 2017</w:t>
      </w:r>
    </w:p>
    <w:p>
      <w:pPr>
        <w:pStyle w:val="Heading2"/>
      </w:pPr>
      <w:r>
        <w:t>Regeste</w:t>
      </w:r>
    </w:p>
    <w:p>
      <w:r>
        <w:t>Entraide administrative et judiciaire</w:t>
      </w:r>
    </w:p>
    <w:p>
      <w:pPr>
        <w:pStyle w:val="Heading2"/>
      </w:pPr>
      <w:r>
        <w:t>Erwägungen</w:t>
      </w:r>
    </w:p>
    <w:p>
      <w:r>
        <w:rPr>
          <w:b/>
        </w:rPr>
        <w:t>E. 1</w:t>
      </w:r>
    </w:p>
    <w:p>
      <w:r>
        <w:t>Le Tribunal est compétent pour trancher la présente affaire (arrêt A-6282/2014 consid. 1) et il entre donc en matière sur le recours, sous réserve de ce qui suit (consid. 4.1 ci-dessous). En outre, 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publié également au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arrêts du TF 2C_1162/2016 du 4 octobre 2017 consid. 9.1, 2C_276/2016 du 12 septembre 2016 [= ATF 143 II 136], notamment consid. 6.3).</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 du TF 2C_904/2015 du 8 décembre 2016 consid. 7.2; arrêt du TAF A-4154/2016 du 15 août 2017 consid. 4.3).</w:t>
      </w:r>
    </w:p>
    <w:p>
      <w:r>
        <w:rPr>
          <w:b/>
        </w:rPr>
        <w:t>E. 3.6</w:t>
      </w:r>
    </w:p>
    <w:p>
      <w:r>
        <w:t>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consid. 12.3 non publié dans ATF 143 II 202, 2C_594/2015 du 1er mars 2016 [= ATF 142 II 69], 2C_963/2014 du 24 septembre 2015 [= ATF 141 II 436], 2C_1174/2014 du 24 septembre 2015 [= ATF 142 II 161] consid. 2.1.1, 2.1.4 et 2.4, arrêts du TF 2C_1162/2016 du 4 octobre 2017 consid. 6.3, 2C_904/2015 du 8 décembre 2016 consid. 6.2).</w:t>
      </w:r>
    </w:p>
    <w:p>
      <w:r>
        <w:rPr>
          <w:b/>
        </w:rPr>
        <w:t>E. 3.7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3.8</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de la Constitution fédérale du 18 avril 1999 de la Confédération suisse [Cst., RS 101]; ATF 142 II 161 consid. 4.6.1 s., arrêts du TF 2C_792/2016 du 23 août 2017 [destiné à la publication] consid. 5.2.1, 2C_963/2014 du 24 septembre 2015 consid. 6.2 non publié dans ATF 141 II 436).</w:t>
      </w:r>
    </w:p>
    <w:p>
      <w:r>
        <w:rPr>
          <w:b/>
        </w:rPr>
        <w:t>E. 3.9.1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p. 732 n. 761).</w:t>
      </w:r>
    </w:p>
    <w:p>
      <w:r>
        <w:rPr>
          <w:b/>
        </w:rPr>
        <w:t>E. 3.9.2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 arrêt du TAF A-8271/2015 du 29 août 2016 consid. 6.2 et 7.3.1).</w:t>
      </w:r>
    </w:p>
    <w:p>
      <w:r>
        <w:rPr>
          <w:b/>
        </w:rPr>
        <w:t>E. 4.1</w:t>
      </w:r>
    </w:p>
    <w:p>
      <w:r>
        <w:t>En l'espèce, le Tribunal doit examiner les conditions de l'assistance administrative ainsi que les griefs des recourants (voir arrêt 2C_1024/2015 consid. 4), qui ont succombé sur le point du litige relatif aux données dites volées, qui n'a plus à être traité (voir arrêt du TAF A-7273/2015 du 3 décembre 2015 consid. 4). Dans ce cadre, l'objet du litige se circonscrit à la question de savoir si l'assistance peut être octroyée au sujet des recourants et, dans ce contexte, si l'AFC peut informer l'autorité requérante de ce que le recourant a été, durant la période concernée, titulaire et ayant droit économique de la relation n° *** (compte clôturé le *** 2010) auprès de la banque. Selon l'AFC, le recourant a aussi été ayant droit économique de la relation n° *** (compte clôturé le *** 2010) au nom de la recourante. Il est prévu de remettre les formulaires A et les relevés de comptes relatifs à ces deux relations pour la période allant du 1er janvier 2010 aux clôtures respectives évoquées (voir pièce 14 du dossier de l'AFC).</w:t>
      </w:r>
    </w:p>
    <w:p>
      <w:r>
        <w:rPr>
          <w:b/>
        </w:rPr>
        <w:t>E. 4.2</w:t>
      </w:r>
    </w:p>
    <w:p>
      <w:r>
        <w:t>Les informations ne pourront être utilisées, en vertu de la décision (ch. 3 let. a) et en cas d'envoi, que dans le cadre de la procédure relative au recourant, ce pour l'état de fait décrit dans la demande du 23 décembre 2013, conformément au principe de spécialité (voir consid. 3.9.1 ci-dessus). Cette limitation implique que, techniquement, le recourant doit être considéré comme personne concernée au sens formel, la recourante étant une personne concernée au sens matériel (consid. 3.8 ci-dessus). L'imprécision - dont les recourants ne se plaignent pas - du ch. 1 du dispositif attaqué ne saurait toutefois conduire à l'annulation de ce dernier, puisqu'il ne fait pas de doute (consid. 3.4.2 ci-dessus) que l'autorité requérante se conformera aux indications du ch. 3 let. a cité.</w:t>
      </w:r>
    </w:p>
    <w:p>
      <w:r>
        <w:rPr>
          <w:b/>
        </w:rPr>
        <w:t>E. 4.3</w:t>
      </w:r>
    </w:p>
    <w:p>
      <w:r>
        <w:t>Cela clarifié, la demande d'assistance du 23 décembre 2013 (qui seule doit être examinée ici, voir arrêt A-6282/2014 consid. 1) est conforme aux exigences du ch. XI par. 3 du Protocole additionnel (voir consid. 3.2 ci-dessus et arrêt du TF 2C_893/2015 du 16 février 2017 consid. 4 non publié dans ATF 143 II 202, qui concerne la même demande que celle litigieuse ici [arrêt 2C_1024/2015 consid. 3.4]). La demande ne constitue au surplus pas une "fishing expedition" (consid. 3.3 ci-dessus; arrêt du TF 2C_893/2015 du 16 février 2017 consid. 12.6 non publié dans ATF 143 II 202). Rien ne laisse enfin penser que le droit interne suisse ou le droit interne français s'opposerait à la transmission à l'étranger des documents bancaires (consid. 3.7 ci-dessus). Certes, les recourants se plaignent de ce qu'ils ne seraient liés à aucune enquête en cours, alors qu'en principe - il est vrai -, l'interdiction de procéder à une pêche aux renseignements suppose que l'Etat requérant ait au préalable effectué un contrôle ou mené une enquête à l'encontre de toute personne visée par la demande (voir arrêt du TF 2C_1162/2016 du 4 octobre 2017 consid. 9.1.1). Toutefois, il n'y a pas lieu d'exiger de l'autorité requérante qu'elle démontre qu'elle a interpellé en vain les recourants avant de demander l'assistance de la Suisse (arrêt du TAF A-6708/2014 du 24 septembre 2015 consid. 6.2). De toute façon, vu la déclaration idoine de l'autorité requérante, à laquelle il faut se fier (consid. 3.4.2 ci-dessus), le principe de subsidiarité (consid. 3.5 ci-dessus) a été respecté (voir arrêt du TF 2C_893/2015 du 16 février 2017 consid. 11 non publié dans ATF 143 II 202), et la simple attestation signée par le recourant lui-même n'y change rien.</w:t>
      </w:r>
    </w:p>
    <w:p>
      <w:r>
        <w:rPr>
          <w:b/>
        </w:rPr>
        <w:t>E. 4.4</w:t>
      </w:r>
    </w:p>
    <w:p>
      <w:r>
        <w:t>Les informations bancaires en lien incontesté avec le recourant, résident de France, remplissent la condition de la vraisemblable pertinence. Pour le surplus, la recourante, en tant que titulaire d'une relation dont le recourant est ayant droit économique (voir arrêt du TAF A-6733/2015 du 29 juin 2017 consid. 5.6) ne peut s'opposer avec succès à la transmission des informations de ladite relation. L'AFC ayant décidé de procéder à des caviardages des documents bancaires portant sur les données relatives au personnel de la banque ainsi que des informations non couvertes par la demande (ch. 3 in fine du dispositif de la décision), il n'est pas douteux que seules les informations vraisemblablement pertinentes seront transmises et que tout intérêt de tiers est sauvegardé (voir arrêts du TAF A-4157/2016 du 15 mars 2017 consid. 4.6, A-7351/2015 du 27 octobre 2016 consid. 4.4).</w:t>
      </w:r>
    </w:p>
    <w:p>
      <w:r>
        <w:rPr>
          <w:b/>
        </w:rPr>
        <w:t>E. 4.5</w:t>
      </w:r>
    </w:p>
    <w:p>
      <w:r>
        <w:t>Il résulte de ce qui précède que la décision est conforme au droit. Les arguments des recourants - traités ci-dessous dans la mesure de leur pertinence (voir arrêt du TAF A-2766/2016 du 18 avril 2017 consid. 4.4) - n'y changent rien.</w:t>
      </w:r>
    </w:p>
    <w:p>
      <w:r>
        <w:rPr>
          <w:b/>
        </w:rPr>
        <w:t>E. 4.6.1</w:t>
      </w:r>
    </w:p>
    <w:p>
      <w:r>
        <w:t>Les recourants insistent sur la clôture prétendue des deux comptes bancaires litigieux avant le 1er janvier 2010. Le Tribunal constate pourtant que le solde des comptes n'était pas nul, mais équivalait à quelques centimes de francs, respectivement d'euros au 31 décembre 2009 (pièce 13 jointe au recours), étant rappelé que le solde des comptes à cette date correspond au solde au début de l'année 2010 (arrêt TF 2C_1087/2016 du 31 mars 2017 consid. 3.4). Cela dit, il est avant tout déterminant que les comptes existaient toujours au 1er janvier 2010, quels que soient les ordres de clôture passés par les recourants (pièces 7 et 8 jointes au recours) le *** 2009. D'ailleurs, des opérations - pour des montants ici aussi certes minimes - ont été passées les ***, ***, *** et *** 2010 (pièce 14 du dossier de l'AFC, p. 46 et 52]; pièce 11 jointe au recours). Le grief des recourants, qui se prévalent d'écritures selon eux non déterminantes (écritures simplement techniques et non contractuelles), doit donc être rejeté (sur les écritures "techniques", voir arrêt du TAF A-4668/2014, A-4669/2014 du 25 avril 2016 consid. 8.3.2). De toute façon, le Tribunal fédéral a récemment jugé que la présentation de faits antérieurs au champ d'application temporel des règles de la CDI pertinentes ne fait pas obstacle à la réalisation de la condition de la vraisemblable pertinence, dans la mesure où ces faits sont à l'origine de l'enquête (arrêt du TF 2C_1162/2016 du 4 octobre 2017 consid. 6.4 s.). Or ici, tel est bien le cas. Enfin, l'application du droit interne étranger échappant au contrôle de l'Administration fédérale dans le cadre de l'examen de la pertinence vraisemblable des renseignements requis (voir arrêt du TF 2C_527/2015 du 3 juin 2016 consid. 5.7), il n'y a pas lieu de retenir une "interprétation économique" de la relation entre les recourants et la banque. La transmission des informations se limitant à l'année 2010 est donc conforme aux dispositions applicables, notamment sous l'angle de leur champ d'application temporel.</w:t>
      </w:r>
    </w:p>
    <w:p>
      <w:r>
        <w:rPr>
          <w:b/>
        </w:rPr>
        <w:t>E. 4.6.2</w:t>
      </w:r>
    </w:p>
    <w:p>
      <w:r>
        <w:t>Pour ce qui est de la restriction prétendument illicite d'un droit fondamental à la protection de la sphère privée et de l'interdiction du formalisme excessif, la présente affaire ne concerne pas des circonstances concrètes qui impliqueraient que le droit évoqué serait violé (voir arrêt du TAF A-3361/2016 du 19 juin 2017 consid. 4.4.3). Les recourants n'étayent d'ailleurs pas leur grief (voir recours p. 11 s.; réplique p. 3), étant rappelés les impératifs de transparence en politique fiscale internationale (voir ATF 143 II 136 consid. 5.3.2; voir aussi arrêt de la CourEDH G.S.B. contre Suisse n° 28601/11 du 22 décembre 2015 § 93 ss).</w:t>
      </w:r>
    </w:p>
    <w:p>
      <w:r>
        <w:rPr>
          <w:b/>
        </w:rPr>
        <w:t>E. 4.6.3</w:t>
      </w:r>
    </w:p>
    <w:p>
      <w:r>
        <w:t>Vu les éléments déjà en mains du Tribunal, la conviction de ce dernier au niveau des faits a déjà pu être formée. Le Tribunal a ainsi la certitude que la preuve dont l'administration est requise - à savoir l'audition en tant que témoin de Monsieur *** (alors directeur au sein de la banque) sur la question de la date de clôture des comptes - ne pourrait l'amener à modifier son opinion. Par appréciation anticipée des preuves (ATF 137 III 208 consid. 2.2, 134 I 140 consid. 5.2, arrêt du TF 2C_109/2015 du 1er septembre 2015 consid. 4.1), le Tribunal renonce donc à administrer la preuve requise par les recourants.</w:t>
      </w:r>
    </w:p>
    <w:p>
      <w:r>
        <w:rPr>
          <w:b/>
        </w:rPr>
        <w:t>E. 4.7.1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retiré sa demande de suspension le 10 juillet 2017, le principe de célérité prime (art. 4 al. 2 LAAF; ATF 142 II 218 consid. 2.5). Vu le présent arrêt, la demande - subsidiaire - de suspension des recourants du 6 juin 2017 est pour sa part sans objet.</w:t>
      </w:r>
    </w:p>
    <w:p>
      <w:r>
        <w:rPr>
          <w:b/>
        </w:rPr>
        <w:t>E. 4.7.2</w:t>
      </w:r>
    </w:p>
    <w:p>
      <w:r>
        <w:t>Sur le fond du problème, dans la mesure de sa compétence (consid. 3.9.2 ci-dessus), le Tribunal, avec l'AFC (voir son courrier du 31 octobre 2017),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3.4 ci-dessus).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 bancaire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ici, ni même n'étayent, le fait prétendu que leurs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des recourants quant à une violation du principe de spécialité dans leur cas demeurent ici au stade de la conjecture toute générale. Il n'y a donc pas lieu de se poser la question, avec les recourants,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la question des effets juridiques de cet accord.</w:t>
      </w:r>
    </w:p>
    <w:p>
      <w:r>
        <w:rPr>
          <w:b/>
        </w:rPr>
        <w:t>E. 4.8</w:t>
      </w:r>
    </w:p>
    <w:p>
      <w:r>
        <w:t>Par conséquent, la décision doit être confirmée. Le recours est rejeté.</w:t>
      </w:r>
    </w:p>
    <w:p>
      <w:r>
        <w:rPr>
          <w:b/>
        </w:rPr>
        <w:t>E. 5</w:t>
      </w:r>
    </w:p>
    <w:p>
      <w:r>
        <w:t>Dans l'arrêt A-6282/2014 consid. 5.1, les frais de procédure (voir art. 63 al. 1 PA; art. 2 al. 1 du règlement du 21 février 2008 concernant les frais, dépens et indemnités fixés par le Tribunal administratif fédéral [FITAF, RS 173.320.2]), ont été arrêtés à Fr. 8'000.-. Ce même montant sera donc mis à la charge des recourants, qui succombent, aussi bien dans la présente procédure que dans la procédure A-6282/2014. Ces frais seront imputés sur le montant de Fr. 10'000.- versé à titre d'avance de frais dans la cause A-6282/2014. Le solde de cette avance, soit Fr. 2'000.-, leur sera restitué une fois le présent arrêt définitif et exécutoire. Une indemnité à titre de dépens n'est pas allouée à l'AFC (art. 7 al. 3 FITAF), ni aux recourants (art. 64 al. 1 PA a contrario,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