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A-230/2015 vom 10. Juni 2015</w:t>
      </w:r>
    </w:p>
    <w:p>
      <w:r>
        <w:t>Bundesverwaltungsgericht, 2015-06-10, DE</w:t>
      </w:r>
    </w:p>
    <w:p>
      <w:r>
        <w:rPr>
          <w:b/>
        </w:rPr>
        <w:t xml:space="preserve">Quelle: </w:t>
      </w:r>
      <w:r>
        <w:t>https://mcp.opencaselaw.ch/entscheid/bvger_A-230_2015</w:t>
      </w:r>
    </w:p>
    <w:p>
      <w:r>
        <w:t>FR: TAF A-230/2015 du 10 juin 2015</w:t>
      </w:r>
    </w:p>
    <w:p>
      <w:r>
        <w:t>IT: TAF A-230/2015 del 10 giugno 2015</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Der FST A ist eine Organisationseinheit des Eidgenössischen Departements für Verteidigung, Bevölkerungsschutz und Sport (VBS). Er gehört somit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Nichtrekrutierung zur Beschwerde legitimiert.</w:t>
      </w:r>
    </w:p>
    <w:p>
      <w:r>
        <w:rPr>
          <w:b/>
        </w:rPr>
        <w:t>E. 1.4</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w:t>
      </w:r>
    </w:p>
    <w:p>
      <w:r>
        <w:rPr>
          <w:b/>
        </w:rPr>
        <w:t>E. 3</w:t>
      </w:r>
    </w:p>
    <w:p>
      <w:r>
        <w:t>Art. 113 MG regelt die Prüfung von Hinderungsgründen für die Überlassung der persönlichen Waffe an Angehörige der Armee und sieht vor, dass das Gewaltpotential einer Person durch eine Personensicherheitsprüfung beurteilt werden kann (Art. 113 Abs. 1 Bst. d MG). Es fragt sich, inwiefern die Vorbringen des Beschwerdeführers zu seiner persönlichen Situation und seinen Vorstrafen in diesem Verfahren noch berücksichtigt werden können. Dazu ist festzuhalten, dass die Risikoerklärung mit unbenutztem Ablauf der Anfechtungsfrist nach Art. 21 Abs. 3 des Bundesgesetzes vom 21. März 1997 über Massnahmen zur Wahrung der inneren Sicherheit (BWIS, SR 120) rechtskräftig wurde und damit nicht mehr mit (ordentlichen) Rechtsmitteln angefochten werden kann.</w:t>
      </w:r>
    </w:p>
    <w:p>
      <w:r>
        <w:rPr>
          <w:b/>
        </w:rPr>
        <w:t>E. 3.1</w:t>
      </w:r>
    </w:p>
    <w:p>
      <w:r>
        <w:t>Die Verbindlichkeit einer Verfügung beurteilt sich grundsätzlich nach den gleichen Kriterien wie die Rechtskraft eines richterlichen Entscheids, obschon auf formell rechtskräftige Verfügungen in weiterem Masse zurückgekommen werden kann als auf rechtskräftige Urteile (Urteil des BGer 1A.93/2004 vom 2. September 2004 E. 4.1; vgl. auch Kölz/Hä­ner/Bertschi, Verwaltungsverfahren und Verwaltungsrechtspflege des Bundes, 3. Aufl. 2013, Rz. 665). Verwaltungsrechtliche Verfügungen geniessen damit - wie auch die faktischen Verwaltungshandlungen (vgl. dazu Urteil des BGer H 97/06 vom 15. Mai 2007 E. 3.1) - eine gewisse Rechtsbeständigkeit (BGE 137 I 69 E. 2.2, BGE 128 V 89 E. 2c; Fritz Gygi, Zur Rechtsbeständigkeit von Verwaltungsverfügungen, ZBl 83/1982 S. 149 ff.). Sie haben zur Folge, dass ihr Inhalt für die betroffenen Parteien verbindlich wird und die beurteilten Fragen auch in anderen Verfahren in der Regel nicht mehr neu aufgeworfen werden können (sog. Bindungswirkung; vgl. BVGE 2009/11 E. 2.1.2; Urteile des BVGer C-5918/2008 vom 17. Dezember 2010 E. 3.4, A-8636/2007 vom 23. Juni 2008 E. 5.2; vgl. auch BGE 139 III 126 E. 3.1). Mit der Bindungswirkung wird dem Prinzip der Einmaligkeit des Rechtsschutzes Nachachtung verschaffen. Dieses schliesst eine nochmalige Überprüfung einer individuell konkreten Anordnung in einem späteren Verwaltungsverfahren grundsätzlich aus (vgl. Urteil des BVGer A-5301/2013 vom 18. Februar 2014 E. 1.4.2). Dadurch wird verhindert, dass Entscheide immer wieder in Frage gestellt oder die nachteiligen Konsequenzen einer verpassten Beschwerdefrist umgangen werden können (vgl. Urteil des BVGer vom 20. November 2013 C-907/2012 E. 5.3).</w:t>
      </w:r>
    </w:p>
    <w:p>
      <w:r>
        <w:rPr>
          <w:b/>
        </w:rPr>
        <w:t>E. 3.2</w:t>
      </w:r>
    </w:p>
    <w:p>
      <w:r>
        <w:t>Am Prinzip der Einmaligkeit des Rechtsschutzes vermag die Bestimmung von Art. 21 Abs. 4 Satz 2 BWIS nichts zu ändern. Danach ist die entscheidende Instanz an die Beurteilung der Prüfbehörde nicht gebunden. Der Vorinstanz ist es also unbenommen, der Risikoerklärung keine Folge zu leisten, falls sie am Vorhandensein eines Hinderungsgrundes gemäss Art. 113 MG zweifelt oder die Risiken anders einschätzt als die Fachstelle. Ausserdem entbindet eine positive Beurteilung des Sicherheitsrisikos durch die Fachstelle die Vorinstanz nicht von ihrer Führungsverantwortung und von ihrer Pflicht, Personalrisiken zu identifizieren und zu bewältigen (vgl. auch Urteil des BVGer A-4658/2014 vom 27. Mai 2015 E. 3.4.2). Eine Pflicht zur Neubeurteilung der persönlichen Risiken durch die rekrutierende Stelle lässt sich aus Art. 21 Abs. 4 Satz 2 BWIS hingegen nicht ableiten. Vielmehr darf der FST A seinen Entscheid auf die Empfehlung der Fachstelle stützen, was er im Regelfall auch tut (vgl. bereits das Urteil des BVGer A-5391/2011 vom 5. April 2012 E. 5.2). Es wäre denn auch nicht sinnvoll, wenn er in jedem Fall eine eigene Sicherheitsprüfung durchführen müsste, nachdem hierzu eine spezialisierte Fachstelle eingesetzt ist, gegen deren Entscheide der Betroffene ans Bundesverwaltungsgericht gelangen kann (vgl. Art. 21 Abs. 3 BWIS). Aus demselben Grund ist das von der Fachstelle festgestellte Personalrisiko auch im Beschwerdeverfahren gegen den (Nicht-)Rekrutierungsentscheid nicht mehr zu überprüfen.</w:t>
      </w:r>
    </w:p>
    <w:p>
      <w:r>
        <w:rPr>
          <w:b/>
        </w:rPr>
        <w:t>E. 3.3.1</w:t>
      </w:r>
    </w:p>
    <w:p>
      <w:r>
        <w:t>Allerdings kann sich die Rechtsbeständigkeit der Risikoerklärung nur auf das erstrecken, was Gegenstand der Sicherheitsüberprüfung war und von der zuständigen Behörde entschieden wurde (Urteil des BVGer A-6028/2013 vom 6. Januar 2014 E. 3.2, vgl. auch Urteil B-4598/2012 vom 11. März 2013 E. 5.1; Rhinow/Koller/Kiss/Thurn­herr/Brühl-Moser, Öffentliches Pro­zessrecht, 3. Aufl., Basel 2014, Rz. 953 f. m.w.H.). Geht es darum, einer veränderten Sach- und/oder Rechtslage Rechnung zu tragen, steht die Verbindlichkeit der Risikoverfügung einer Berücksichtigung der neuen Umstände in einem späteren Verfahren nicht entgegen. Demzufolge hat die Vorinstanz Tatsachen, die erst nach Erlass der Risikoerklärung eingetreten sind, zu berücksichtigen, sofern sie für die Beurteilung des Risikos massgeblich sind. Solche Umstände können auch im Beschwerdeverfahren betreffend die Nichtrekrutierung vorgebracht werden.</w:t>
      </w:r>
    </w:p>
    <w:p>
      <w:r>
        <w:rPr>
          <w:b/>
        </w:rPr>
        <w:t>E. 3.3.2</w:t>
      </w:r>
    </w:p>
    <w:p>
      <w:r>
        <w:t>Aus den Akten sind vorliegend keine Anhaltspunkte ersichtlich, welche die Vorinstanz dazu hätten veranlassen müssen, von der Einschätzung der Fachstelle abzuweichen. Wenn der Beschwerdeführer vorbringt, er habe zwischenzeitlich seine Ausbildung abgeschlossen und sich seither nichts mehr zu Schulden kommen lassen, so hilft ihm dies nicht weiter. Soweit er damit die Empfehlung der Fachstelle in Frage stellt, ist der Einwand nach dem Gesagten unbehelflich, da er bereits in einem allfälligen Beschwerdeverfahren gegen die Risikoerklärung hätte vorgebracht werden können (vgl. dazu Urteil des BVGer A-3668/2013 vom 10. Februar 2014 E. 4.3). Der Beschwerdeführer wurde im Übrigen mit Entscheid vom 22. Oktober 2013 über die vorzeitige Entlassung aus der Rekrutierung auf die von der Vorinstanz beabsichtigte Nichtrekrutierung hingewiesen, sollte er die Rechtsmittelfrist gegen die Risikoverfügung unbenutzt verstreichen lassen. Zwar ist anzuerkennen, dass seit der Risikoerklärung vom 15. November 2013 und den Strafurteilen vom 2. April bzw. 17. Dezember 2012 einige Zeit vergangen ist. Jedoch hat der Beschwerdeführer entgegen seiner Aussage in der Beschwerdeschrift vom 7. Januar 2015 erneut gegen das Gesetz verstossen und wurde am 30. Juli 2014 von der Staatsanwaltschaft des Kantons Bern wegen grober Verletzung der Verkehrsregeln zu 10 Tagessätzen zu Fr. 30.- sowie einer Busse von Fr. 300.- rechtskräftig verurteilt. Gesamthaft betrachtet hat sich der Beschwerdeführer zwar im Hinblick auf die in seiner Jugend verübte Körperverletzung und den Drogenkonsum bislang positiv bewährt, doch angesichts der groben Verletzung von Verkehrsregeln (Selbstunfall) erneut ein verantwortungsloses, rücksichtsloses und riskantes Verhalten an den Tag gelegt (vgl. auch Urteil des BVGer A-4861/2013 vom 31. Januar 2014 E. 4.5). Die Wahrscheinlichkeit einer aggressiven oder gewalttätigen Handlung kann demnach als im Vergleich zu anderen jungen Männern erhöht bezeichnet und das Risiko eines Missbrauchs der persönlichen Armeewaffe nicht ausgeschlossen werden.</w:t>
      </w:r>
    </w:p>
    <w:p>
      <w:r>
        <w:rPr>
          <w:b/>
        </w:rPr>
        <w:t>E. 3.3.3</w:t>
      </w:r>
    </w:p>
    <w:p>
      <w:r>
        <w:t>Wenn die Vorinstanz vor diesem Hintergrund keinen Anlass sah, von der Einschätzung der Risikoerklärung abzuweichen und sich durch den Strafbefehl vom 30. Juli 2014 in ihrem Entscheid bestärkt sieht, ist dies nicht zu beanstanden.</w:t>
      </w:r>
    </w:p>
    <w:p>
      <w:r>
        <w:rPr>
          <w:b/>
        </w:rPr>
        <w:t>E. 4</w:t>
      </w:r>
    </w:p>
    <w:p>
      <w:r>
        <w:t>Gemäss Art. 13 Abs. 1 der Verordnung über die Rekrutierung vom 10. April 2002 (VREK, SR 511.11) ist nur militärdiensttauglich, wer aufgrund seines Leistungsprofils den Anforderungen an den Militärdienst entspricht und bei dem kein Grund für eine Nichtrekrutierung nach Art. 21 Abs. 1 MG sowie kein Hinderungsgrund für die Überlassung der persönlichen Waffe nach Art. 113 MG vorliegt. Sodann wird gemäss Art. 14 Abs. 1 VREK der Armee nur zugeteilt, wer militärdiensttauglich ist (vgl. zum ganzen Abschnitt: Urteile des BVGer A-3668/2013 E. 4.1 m.w.H., A-5361/2012 vom 22. April 2013 E. 4.1). Nachdem beim Beschwerdeführer ein Hinderungsgrund im Sinne von Art. 113 MG vorliegt, ergibt sich daraus, dass die von der Vorinstanz verfügte Nichtrekrutierung zu Recht erfolgt ist.</w:t>
      </w:r>
    </w:p>
    <w:p>
      <w:r>
        <w:rPr>
          <w:b/>
        </w:rPr>
        <w:t>E. 5</w:t>
      </w:r>
    </w:p>
    <w:p>
      <w:r>
        <w:t>Die Beschwerde erweist sich demnach als unbegründet und ist abzuweisen.</w:t>
      </w:r>
    </w:p>
    <w:p>
      <w:r>
        <w:rPr>
          <w:b/>
        </w:rPr>
        <w:t>E. 6</w:t>
      </w:r>
    </w:p>
    <w:p>
      <w:r>
        <w:t>Bei diesem Ausgang des Verfahrens gilt der Beschwerdeführer als unterliegend. Er hat die Verfahrenskosten zu tragen, welche auf Fr. 1'000.- festzusetzen sind (Art. 63 Abs. 1 VwVG i.V.m. Art. 1 ff. des Reglements über die Kosten und Entschädigungen vor dem Bundesverwaltungsgericht vom 21. Februar 2008 [VGKE, SR 173.320.2]). Der einbezahlte Kostenvorschuss ist zur Bezahlung der Verfahrenskosten zu verwenden. Dem Beschwerdeführer steht angesichts seines Unterliegens von vornherein keine Parteientschädigung zu (Art. 64 Abs. 1 VwVG i.V.m. Art. 7 Abs. 1 VGKE e contrario).</w:t>
      </w:r>
    </w:p>
    <w:p>
      <w:r>
        <w:rPr>
          <w:b/>
        </w:rPr>
        <w:t>E. 7</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