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A-229/2015 vom 7. Juli 2016</w:t>
      </w:r>
    </w:p>
    <w:p>
      <w:r>
        <w:t>Bundesverwaltungsgericht, 2016-07-07, IT</w:t>
      </w:r>
    </w:p>
    <w:p>
      <w:r>
        <w:rPr>
          <w:b/>
        </w:rPr>
        <w:t xml:space="preserve">Quelle: </w:t>
      </w:r>
      <w:r>
        <w:t>https://mcp.opencaselaw.ch/entscheid/bvger_A-229_2015</w:t>
      </w:r>
    </w:p>
    <w:p>
      <w:r>
        <w:t>FR: TAF A-229/2015 du 7 juillet 2016</w:t>
      </w:r>
    </w:p>
    <w:p>
      <w:r>
        <w:t>IT: TAF A-229/2015 del 7 luglio 2016</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18 dicembre 2015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 destinatario della decisione impugnata (art. 22 segg., 48 e 50 PA), il ricorso adempie alle esigenze di forma e di contenuto previste all'art. 52 PA. Occorre pertanto entrare nel merito.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Basilea 2013, n. 3.198).</w:t>
      </w:r>
    </w:p>
    <w:p>
      <w:r>
        <w:rPr>
          <w:b/>
        </w:rPr>
        <w:t>E. 3</w:t>
      </w:r>
    </w:p>
    <w:p>
      <w:r>
        <w:t>Con atto ricorsuale del 18 gennaio 2015, l'insorgente ha chiesto di l'annullamento della decisione dell'ESTI. In particolare, il proprietario dell'immobile oggetto di RaSi ha chiesto la riduzione della tassa di emanazione della decisione impugnata da 600 a 200, rilevando altresì che la ditta B._______ ha provveduto al controllo RaSi l'11 dicembre 2014, come si evince dal rapporto di lavoro 10822.</w:t>
      </w:r>
    </w:p>
    <w:p>
      <w:r>
        <w:rPr>
          <w:b/>
        </w:rPr>
        <w:t>E. 4</w:t>
      </w:r>
    </w:p>
    <w:p>
      <w:r>
        <w:t>Secondo l'art. 20 cpv. 1 LIE, la vigilanza sugli 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(art. 36 cpv. 2 OIBT). Se, dopo due diffide, il rapporto di sicurezza non è stato presentato entro il termine stabilito, il gestore della rete affida all'ESTI l'esecuzione dei controlli periodici (art. 36 cpv. 3 OIBT). In proposito la giurisprudenza ha rilevato che il presupposto per un rinvio della pratica all'ESTI è l'invio, senza riscontro, di tre lettere - la richiesta più due solleciti - da parte del gestore di rete (cfr. Sentenza del Tribunale amministrativo federale A 2470/2010 del 20 luglio 2010 consid. 5.2; e A-5256/2010, dell'11 febbraio 2011, consid. 5). Essi devono forzatamente essere stati ricevuti dal proprietario prima che si possa avviare una procedura quale quella qui in oggetto. Sulla base delle disposizioni sopra menzionate,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Sentenze del Tribunale amministrativo federale A 6178/2009 del 22 febbraio 2010 consid. 3.2, A 7151/2008 del 10 febbraio 2009 consid. 3.2 e A-6150/2009 del 21 gennaio 2010 consid. 6.3).</w:t>
      </w:r>
    </w:p>
    <w:p>
      <w:r>
        <w:rPr>
          <w:b/>
        </w:rPr>
        <w:t>E. 5</w:t>
      </w:r>
    </w:p>
    <w:p>
      <w:r>
        <w:t>Anzitutto è pacifica la notifica della richiesta e dei due solleciti al ricorrente da parte delle autorità preposte. Nel merito, dagli atti di causa, emerge che in data 11 dicembre 2014 la ditta B._______, autorizzata ad eseguire il controllo RaSi (numero di controllo K-...), ha effettuato un intervento denominato "controllo periodico rapporto RaSi", della durata di 1,5 ore, all'immobile oggetto di discussione. Dal medesimo rapporto emerge che la ditta incaricata ha operato misurazioni e controlli all'impianto elettrico, rilevando difetti, i quali tuttavia non sono stati sanati. Infatti dalla "descrizione del lavoro svolto" il "montatore" ha evidenziato: "rilevato i difetti da sistemare". In queste circostanze l'intervento della ditta incaricata non può essere inteso quale rapporto RaSi, il quale necessita oltre alla manutenzione e alla verifiche periodica da parte di organi di controllo autorizzati, anche l'eliminazione di difetti che potrebbero generare problemi. In altri termini l'obbligo di presentare un RaSi comporta l'obbligo di fare procedere al controllo dell'impianto tempestivamente in maniera che la sicurezza dell'impianto stesso sia attestata mediante detto rapporto entro il termini fissati; non basta fare procedere ad un controllo dell'impianto. I numerosi richiami da parte dei distributori di rete come pure dell'ESTI consentono più che ampiamente che l'amministrato disponga del tempo necessario per organizzarsi, anche facendo astrazione della possibilità di richiedere delle proroghe dei termini. Di conseguenza, al momento della sua emanazione, l'atto impugnato era totalmente giustificato e conforme alla legge. L'autorità inferiore ha impartito al ricorrente un termine scadente il 18 febbraio 2015 per trasmettere al gestore di rete il rapporto di sicurezza relativo agli impianti elettrici dell'immobile in oggetto. Siccome il 3 marzo 2015, il contatore numero ... è stato disattivato, come evidenziato dall'autorità inferiore in sede di osservazioni, la richiesta di annullamento del punto dispositivo numero 1, relativa appunto al termine per la presentazione del RaSi, è privo di oggetto.</w:t>
      </w:r>
    </w:p>
    <w:p>
      <w:r>
        <w:rPr>
          <w:b/>
        </w:rPr>
        <w:t>E. 6</w:t>
      </w:r>
    </w:p>
    <w:p>
      <w:r>
        <w:t>Per quanto attiene invece al gravame di riduzione delle spese di emanazione della decisione di 600 franchi, il ricorso - nella misura in cui è ricevibile - dev'essere respinto e la decisione impugnata confermata. In effetti, la tassa d'emanazione della decisione impugnata - e non una "multa" o qualsiasi "penalità" - che copre le spese di funzionamento dell'ESTI per tutta la procedura in oggetto è conforme ai principi di copertura dei costi nonché a quello della proporzionalità (cfr. fra le tante, Sentenza del Tribunale amministrativo federale A-7079/2014, del 12 febbraio 2015,consid. 3.4 e riferimenti citati).</w:t>
      </w:r>
    </w:p>
    <w:p>
      <w:r>
        <w:rPr>
          <w:b/>
        </w:rPr>
        <w:t>E. 7</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sono stabilite in 800 franchi (art. 4 TS-TAF), importo che viene integralmente compensato con l'anticipo da lui versato il 4 febbraio 2015. Con riferimento all'art. 7 cpv. 3 TS-TAF, all'autorità inferiore non viene riconosciuta nessuna indennità per ripetibili.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