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A-228/2015 vom 22. September 2015</w:t>
      </w:r>
    </w:p>
    <w:p>
      <w:r>
        <w:t>Bundesverwaltungsgericht, 2015-09-22, FR</w:t>
      </w:r>
    </w:p>
    <w:p>
      <w:r>
        <w:rPr>
          <w:b/>
        </w:rPr>
        <w:t xml:space="preserve">Quelle: </w:t>
      </w:r>
      <w:r>
        <w:t>https://mcp.opencaselaw.ch/entscheid/bvger_A-228_2015</w:t>
      </w:r>
    </w:p>
    <w:p>
      <w:r>
        <w:t>FR: TAF A-228/2015 du 22 septembre 2015</w:t>
      </w:r>
    </w:p>
    <w:p>
      <w:r>
        <w:t>IT: TAF A-228/2015 del 22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230 francs, répartie sur deux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du droit privé ou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CO),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Il faut d'ailleurs insister, en l'espèce, sur la circonstance que le droit du bail ne saurait porter sur des choses qui servent à l'usage public ou à remplir des tâches publiques (arrêt du Tribunal fédéral 4A_250/2015 précité consid. 4a).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 S'agissant du grief relatif au défaut de la forme écrite au sens de l'art. 13 LPers, il convient de retenir que, si l'utilisation d'un logement de service par l'employé est liée aux rapports de service, elle ne concerne toutefois pas directement l'exécution même des tâches que celui-ci doit accomplir (cf. JAAC 65.81 consid. 1a/cc). Il en résulte que l'art. 13 LPers, ainsi que ses dispositions d'exécution, ne sont pas applicables en l'espèce.</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Il sied à présent d'expliquer les délégations de compétence prévues par la LPers pour fixer le dédommagement des logements de service.</w:t>
      </w:r>
    </w:p>
    <w:p>
      <w:r>
        <w:rPr>
          <w:b/>
        </w:rPr>
        <w:t>E. 5.1.1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5.1.2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et peuvent déroger aux règles fixées aux art. 253 ss et 269 CO (art. 21 al. 1 let. b LPers).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w:t>
      </w:r>
    </w:p>
    <w:p>
      <w:r>
        <w:rPr>
          <w:b/>
        </w:rPr>
        <w:t>E. 6.1</w:t>
      </w:r>
    </w:p>
    <w:p>
      <w:r>
        <w:t>Le recourant affirme que les modalités fixées dans les directives du DFF pour estimer le dédommagement de son logement de service écartent, sans droit, les règles déterminantes au droit du bail et aboutissent à un résultat disproportionné. L'autorité inférieure lui oppose que les directives ont été appliquées correctement et qu'elles peuvent réglementer les rapports juridiques en cause à des conditions dérogeant à la législation sur le droit du bail.</w:t>
      </w:r>
    </w:p>
    <w:p>
      <w:r>
        <w:rPr>
          <w:b/>
        </w:rPr>
        <w:t>E. 6.2</w:t>
      </w:r>
    </w:p>
    <w:p>
      <w:r>
        <w:t>Il a été vu que les règles du droit du bail du CO n'étaient pas applicables en l'espèce. Pour le surplus il convient de considérer ce qui suit.</w:t>
      </w:r>
    </w:p>
    <w:p>
      <w:r>
        <w:rPr>
          <w:b/>
        </w:rPr>
        <w:t>E. 6.2.1</w:t>
      </w:r>
    </w:p>
    <w:p>
      <w:r>
        <w:t>L'occupation d'un logement de service excède l'usage commun et peut de ce fait donner lieu à la perception d'un dédommagement. Les dédommagements perçus pour l'usage particulier d'un bien appartenant à l'Etat sont soumis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6.3.1</w:t>
      </w:r>
    </w:p>
    <w:p>
      <w:r>
        <w:t>En l'espèce, le nouveau dédommagement du logement de service du recourant a été établi selon un critère objectif, c'est-à-dire en fonction de sa surface (81.20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6.3.2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(1'015 francs, hors supplément/déduction), pour un quatre pièces reste dans la fourchette de 70 % du loyer d'objets comparables selon les usages locaux. En effet, le loyer moyen de l'ensemble des logements de 5 pièces (cuisine comprise), dans le canton de Genève, est de 1'789 francs (cf. Annuaire statistique du canton de Genève, 2013, T 05.15 p. 126). Le dédommagement fixé par l'autorité inférieure représente donc 57 % de ce montant. Ainsi, le dédommagement fixé par l'autorité inférieure n'apparaît pas hors de proportion avec la prestation octroyée, ce qui permet de se dispenser de toute mesure d'instruction supplémentaire. Il faut également relever que, par le choix d'une augmentation échelonnée en deux tranches (et non pas trois tranches, comme l'affirme à tort le recourant ; cf. mémoire de recours, p. 5 ch. 2), l'autorité inférieure est parvenue à limiter raisonnablement les inévitables désagréments pour le recourant,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n'apporte pas d'éléments objectivables pour retenir qu'il souffrirait actuellement d'alentours défavorables. L'autorité inférieure n'a dès lors pas outrepassé son pouvoir d'appréciation en accordant une unique déduction de 5 % (équipement non complet). Le recourant n'en disconvient d'ailleurs pas. Les différents griefs du recourant seront par conséquent rejetés.</w:t>
      </w:r>
    </w:p>
    <w:p>
      <w:r>
        <w:rPr>
          <w:b/>
        </w:rPr>
        <w:t>E. 6.4</w:t>
      </w:r>
    </w:p>
    <w:p>
      <w:r>
        <w:t>Au vu des considérants qui précèdent, la décision attaquée est conforme au droit et le recours s'avère mal fondé, ce qui conduit à son rejet.</w:t>
      </w:r>
    </w:p>
    <w:p>
      <w:r>
        <w:rPr>
          <w:b/>
        </w:rPr>
        <w:t>E. 7.1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7.2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