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A-2273/2019 vom 19. Februar 2020</w:t>
      </w:r>
    </w:p>
    <w:p>
      <w:r>
        <w:t>Bundesverwaltungsgericht, 2020-02-19, DE</w:t>
      </w:r>
    </w:p>
    <w:p>
      <w:r>
        <w:rPr>
          <w:b/>
        </w:rPr>
        <w:t xml:space="preserve">Quelle: </w:t>
      </w:r>
      <w:r>
        <w:t>https://mcp.opencaselaw.ch/entscheid/bvger_A-2273_2019</w:t>
      </w:r>
    </w:p>
    <w:p>
      <w:r>
        <w:t>FR: TAF A-2273/2019 du 19 février 2020</w:t>
      </w:r>
    </w:p>
    <w:p>
      <w:r>
        <w:t>IT: TAF A-2273/2019 del 19 febbraio 2020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Abgesehen vom Fall einer Sprungbeschwerde (Art. 83 Abs. 4 des Bundesgesetzes vom 12. Juni 2009 über die Mehrwertsteuer [MWSTG, SR 641.20]) bildet Anfechtungsobjekt im Verfahren vor dem Bundesverwaltungsgericht im Rahmen der Mehrwertsteuer einzig der vorinstanzliche Einspracheentscheid. Dieser ersetzt frühere Verfügungen der Vorinstanz (sog. Devolutiveffekt; vgl. BGE 136 II 539 E. 1.2; vgl. BGE 136 II 470 E. 1.3; vgl. Urteile des BGer 2C_537/2016 vom 16. Oktober 2017 E. 1.1, 2C_1096/2018 vom 19. September 2019 E. 4.2; Urteile des BVGer A-5576/2018 vom 5. Dezember 2019 E. 1.3, A-1098/2019 vom 10. September 2019 E. 1.2, A-3398/2017 vom 7. März 2019 E. 1.3). Eine Sprungbeschwerde liegt nicht vor. Die Beschwerdeführerin wehrt sich gemäss ihrem Rechtsbegehren gegen die vorinstanzliche Verfügung vom 5. März 2018; den diese Verfügung bestätigenden Einspracheentscheid vom 25. März 2019 erwähnt sie hingegen im Rahmen der Anträge nicht (Sachverhalt Bst. F). Aus der Begründung sowie dem Rubrum der Beschwerde ergibt sich jedoch eindeutig, dass die Beschwerdeführerin mit dem genannten Einspracheeintscheid nicht einverstanden ist, und diesen anfechten möchte. Damit ist ihr Rechtsbegehren entsprechend umzudeuten, womit ein zulässiges Anfechtungsobjekt vorliegt. Soweit die Verfügung vom 5. März 2018 ebenfalls angefochten ist, ist auf die Beschwerde nicht einzutreten.</w:t>
      </w:r>
    </w:p>
    <w:p>
      <w:r>
        <w:rPr>
          <w:b/>
        </w:rPr>
        <w:t>E. 1.3</w:t>
      </w:r>
    </w:p>
    <w:p>
      <w:r>
        <w:t>Angefochten ist nicht der vollständige Einspracheentscheid, sondern nur bestimmte Aufrechnungen im 2. Quartal 2012 (Sachverhalt Bst. F). Nur diese sind vorliegend Streitgegenstand.</w:t>
      </w:r>
    </w:p>
    <w:p>
      <w:r>
        <w:rPr>
          <w:b/>
        </w:rPr>
        <w:t>E. 1.4</w:t>
      </w:r>
    </w:p>
    <w:p>
      <w:r>
        <w:t>Das Verfahren vor dem Bundesverwaltungsgericht richtet sich nach dem VwVG, soweit das VGG nichts anderes bestimmt (Art. 37 VGG).</w:t>
      </w:r>
    </w:p>
    <w:p>
      <w:r>
        <w:rPr>
          <w:b/>
        </w:rPr>
        <w:t>E. 1.5</w:t>
      </w:r>
    </w:p>
    <w:p>
      <w:r>
        <w:t>Die Beschwerdeführerin ist Adressatin der angefochtenen Verfügung und von dieser betroffen. Sie ist damit zur Beschwerdeerhebung berechtigt (Art. 48 Abs. 1 VwVG). Auf die im Übrigen form- und fristgerecht eingereichte Beschwerde (Art. 50 Abs. 1 und 52 Abs. 1 VwVG) ist einzutreten.</w:t>
      </w:r>
    </w:p>
    <w:p>
      <w:r>
        <w:rPr>
          <w:b/>
        </w:rPr>
        <w:t>E. 1.6</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 Aufl. 2013, Rz. 1.54).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Urteile des BVGer A-6966/2018 vom 24. Oktober 2019 E. 1.5, A-3678/2016 vom 6. August 2018 E. 2.2).</w:t>
      </w:r>
    </w:p>
    <w:p>
      <w:r>
        <w:rPr>
          <w:b/>
        </w:rPr>
        <w:t>E. 1.7</w:t>
      </w:r>
    </w:p>
    <w:p>
      <w:r>
        <w:t>Das Bundesverwaltungsgericht kann den angefochtenen Entscheid mit uneingeschränkter Kognition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1.8.1</w:t>
      </w:r>
    </w:p>
    <w:p>
      <w:r>
        <w:t>Der vorliegend umstrittene Sachverhalt betrifft die Steuerperiode 2012 (vgl. E. 1.3). Damit kommt das am 1. Januar 2010 in Kraft getretene MWSTG zur Anwendung (Art. 112 Abs. 1 MWSTG e contrario).</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Art. 18 Abs. 1 MWSTG sieht vor, dass der Inlandsteuer die im Inland durch steuerpflichtige Personen gegen Entgelt erbrachten Leistungen unterliegen. Diese sind steuerbar, soweit das MWSTG keine Ausnahme vorsieht.</w:t>
      </w:r>
    </w:p>
    <w:p>
      <w:r>
        <w:rPr>
          <w:b/>
        </w:rPr>
        <w:t>E. 2.2</w:t>
      </w:r>
    </w:p>
    <w:p>
      <w:r>
        <w:t>Nach Art. 10 Abs. 1 MWSTG in der für das vorliegend zu beurteilende 2. Quartal 2012 geltenden Fassung (AS 2009 5203)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(Art. 10 Abs. 1 Bst. a und b MWSTG [AS 2009 5203]).</w:t>
      </w:r>
    </w:p>
    <w:p>
      <w:r>
        <w:rPr>
          <w:b/>
        </w:rPr>
        <w:t>E. 2.3</w:t>
      </w:r>
    </w:p>
    <w:p>
      <w:r>
        <w:t>Die Steuerpflicht beginnt (ebenfalls in der damals geltenden Fassung) mit der Aufnahme der unternehmerischen Tätigkeit (Art. 14 Abs. 1 MWSTG [AS 2009 5203]).</w:t>
      </w:r>
    </w:p>
    <w:p>
      <w:r>
        <w:rPr>
          <w:b/>
        </w:rPr>
        <w:t>E. 2.4.1</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A-2859/2019 vom 5. Dezember 2019 E. 2.3.4, A-5720/2012 vom 19. Februar 2014 E. 2.3.7; Ralf Imstepf, Die Zuordnung von Leistungen gemäss Art. 20 des neuen MWSTG [nachfolgend: Zuordnung von Leistungen], in: Archiv für schweizerisches Abgaberecht [ASA] 78 S. 757 ff., 772).</w:t>
      </w:r>
    </w:p>
    <w:p>
      <w:r>
        <w:rPr>
          <w:b/>
        </w:rPr>
        <w:t>E. 2.4.2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in: Zweifel/Beusch/Glauser/Robinson [Hrsg.], Kommentar zum schweizerischen Steuerrecht, Bundesgesetz über die Mehrwertsteuer, 2015 [nachfolgend: Kommentar zum MWSTG], Art. 20 Rz. 34 f.; Imstepf, Zuordnung von Leistungen, a.a.O., S. 773 ff.). Findet Art. 20 Abs. 1 MWSTG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[BGE 145 II 270 E. 4.4.3; vgl. dazu: Imstepf, Zuordnung von Leistungen, a.a.O., S. 777 und Ralf Imstepf, Der mehrwertsteuerliche «Aussenauftritt», Konturen eines unbestimmten Rechtsbegriffs [nachfolgend: Aussenauftritt], in: ASA 82 S. 451 ff., 465 ff.]).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durch eine Warenlieferung oder Dienstleistung ersetzt. Dadurch wird der indirekte Stellvertreter in die gleiche Lage versetzt, wie wenn er für eigene Rechnung handeln würde (vgl. Art. 20 Abs. 1 MWSTG; Glauser, Kommentar zum MWSTG, a.a.O., Art. 20 Rz. 19; vgl. Imstepf; Aussenauftritt, S. 463). Hierbei soll die Rechtsfolge bzw. Fiktion aus Abs. 3 nicht eine absolute Gleichqualifizierung der beiden Leistungen, sondern nur eine Gleichqualifizierung bzgl. der objektiven Merkmale erreichen (wie bspw. «Art der Leistung» oder Höhe des Entgelts; Urteil des BVGer A-713/2017 vom 2. Juli 2018 E. 2.4.3; Glauser, Kommentar zum MWSTG, a.a.O., Art. 20 Rz. 20; Imstepf, Zuordnung von Leistungen, a.a.O., S. 777 f.).</w:t>
      </w:r>
    </w:p>
    <w:p>
      <w:r>
        <w:rPr>
          <w:b/>
        </w:rPr>
        <w:t>E. 2.5.1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(vgl. Art. 12 VwVG i.V.m. Art. 81 Abs. 1 und 2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Dazu zählt namentlich das im Mehrwertsteuerrecht geltende, wenn auch im neuen Recht abgeschwächte, Selbstveranlagungsprinzip (BGE 140 II 202 E. 5.4; Urteil des BVGer A-6253/2018 vom 10. Dezember 2019 E. 1.5.1).</w:t>
      </w:r>
    </w:p>
    <w:p>
      <w:r>
        <w:rPr>
          <w:b/>
        </w:rPr>
        <w:t>E. 2.5.2</w:t>
      </w:r>
    </w:p>
    <w:p>
      <w:r>
        <w:t>Im Verfahren vor dem Bundesverwaltungsgericht gilt der Grundsatz der freien Beweiswürdigung (Art. 81 Abs. 3 MWSTG; BGE 130 II 485 E. 3.2; vgl. BGE 143 V 124 E. 2.2.2; Urteil des BVGer A-1679/2015 vom 24. Mai 2016 E. 2.3 m.H.).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144 II 427 E. 8.3.1; Urteile des BVGer A-6253/2018 vom 10. Dezember 2019 E. 1.5.2, A-2420/2019 vom 3. Dezember 2019 E. 6.1).</w:t>
      </w:r>
    </w:p>
    <w:p>
      <w:r>
        <w:rPr>
          <w:b/>
        </w:rPr>
        <w:t>E. 3</w:t>
      </w:r>
    </w:p>
    <w:p>
      <w:r>
        <w:t>Im vorliegenden Verfahren geht es um die Frage, ob Leistungen, die im 2. Quartal 2012 erbracht wurden, als von der Beschwerdeführerin oder bereits der A._______ erbracht zu gelten haben. Sämtliche weiteren Aufrechnungen, die die Vorinstanz in der EM Nr. [...] vornahm und die (letztmals) mit dem angefochtenen Einspracheentscheid vom 25. März 2019 von der Vorinstanz bestätigt wurden, liegen nicht (mehr) im Streit (vgl. schon E. 1.3).</w:t>
      </w:r>
    </w:p>
    <w:p>
      <w:r>
        <w:rPr>
          <w:b/>
        </w:rPr>
        <w:t>E. 3.1.1</w:t>
      </w:r>
    </w:p>
    <w:p>
      <w:r>
        <w:t>Die Vorinstanz macht geltend, die A._______ sei erst [im dritten Quartal] 2012 im Handelsregister eingetragen worden. Dem Eintrag komme konstitutive Wirkung zu. Zuvor habe diese Gesellschaft gar keine (mehrwertsteuerlich relevanten) Leistungen erbringen können. Sie sei denn auch erst per [ein paar Tage früher] im Register der mehrwertsteuerpflichtigen Personen eingetragen worden und habe zuvor über keine Mehrwertsteuernummer verfügt, die sie hätte verwenden können. Zudem sei ihr (der Vorinstanz) nie mitgeteilt worden, dass die Beschwerdeführerin die A._______ vertrete (sofern eine solche Vertretung überhaupt möglich gewesen wäre). Dass die streitbetroffene Steuer dem abgespaltenen Betriebsteil zuzuordnen ist, bestreitet die Vorinstanz nicht, sondern hält dies explizit fest. Sie bringt aber vor, im 2. Quartal 2012 seien die Leistungen aus mehrwertsteuerlicher Sicht noch der Beschwerdeführerin zuzuordnen. Sie habe im Rahmen der externen Mehrwertsteuerkontrolle keine Belege für diesen Zeitraum finden können, auf denen die A._______ als Leistungserbringerin aufgeführt sei. Die Beschwerdeführerin habe die Rechnungen vielmehr mit ihrem Namen und ihrer Mehrwertsteuernummer versehen.</w:t>
      </w:r>
    </w:p>
    <w:p>
      <w:r>
        <w:rPr>
          <w:b/>
        </w:rPr>
        <w:t>E. 3.1.2</w:t>
      </w:r>
    </w:p>
    <w:p>
      <w:r>
        <w:t>Die Beschwerdeführerin macht demgegenüber geltend, dass die Abspaltung rückwirkend per 1. Januar 2012 vollzogen worden und der Abspaltungsplan schon im [ersten Quartal] 2012 erstellt worden sei. Es sei sehr wohl möglich, im Hinblick auf die Unternehmensgründung bereits Leistungen zu erbringen. Sie habe diese Leistungen für die noch zu gründende Gesellschaft erbracht, womit ein Stellvertretungsverhältnis vorgelegen habe. Den Kunden und Lieferanten sei dies mitgeteilt worden. Die Rechnungsstellung sei auf die A._______ lautend erfolgt. Die Vorinstanz habe ebenfalls als darüber informiert zu gelten, da im [ersten Quartal] 2012 im SHAB ein dreifacher Schuldenruf durchgeführt worden sei. Die Publizitätswirkung, die damit einhergehe, habe sich die Vorinstanz anrechnen zu lassen. Die A._______ habe die Umsätze in ihrer Buchhaltung erfasst und die Mehrwertsteuerlast dort ausgewiesen.</w:t>
      </w:r>
    </w:p>
    <w:p>
      <w:r>
        <w:rPr>
          <w:b/>
        </w:rPr>
        <w:t>E. 3.2</w:t>
      </w:r>
    </w:p>
    <w:p>
      <w:r>
        <w:t>Damit ist zu prüfen, welcher Gesellschaft die im 2. Quartal 2012 erbrachten Leistungen als mehrwertsteuerlicher Leistungserbringerin zuzurechnen sind und welche demnach auf den Umsätzen daraus die Mehrwertsteuer zu entrichten hätte. Allfällige Fragen nach einer subsidiären oder Solidarhaftung der Beschwerdeführerin stellen sich nur dann, wenn die Leistungen mehrwertsteuerrechtlich der A._______ zuzuordnen sind.</w:t>
      </w:r>
    </w:p>
    <w:p>
      <w:r>
        <w:rPr>
          <w:b/>
        </w:rPr>
        <w:t>E. 3.2.1</w:t>
      </w:r>
    </w:p>
    <w:p>
      <w:r>
        <w:t>Dem Aussenauftritt kommt bei der Beurteilung der Frage, wem eine Leistung mehrwertsteuerlich zuzuordnen ist, entscheidende Bedeutung zu. Dabei ist unter anderem massgeblich, aber nicht allein entscheidend, was den Lieferanten und Kunden mitgeteilt wurde. Nicht ausschlaggebend ist, welchem Betriebsteil eine bestimmte Leistung zuzuordnen ist. Bei der Beantwortung der Frage, wem eine Leistung nach dem Aussenauftritt zuzuordnen ist, ist ein objektiver Massstab anzulegen bzw. die Sicht eines unbeteiligten Dritten zugrunde zu legen (E. 2.4.1 f.). Hierzu hat die Vorinstanz festgehalten, dass keine auf die neu zu gründende A._______ lautenden Rechnungen hätten festgestellt werden können; vielmehr sei anlässlich der Kontrolle festgestellt worden, dass in der fraglichen Zeit sämtliche Rechnungen im Namen der Beschwerdeführerin ausgestellt worden seien. Dies hielt sie sowohl in der Verfügung vom 5. März 2018 als auch im Einspracheentscheid vom 25. März 2019 als auch in der Vernehmlassung ausdrücklich fest. Diese Feststellung der Vorinstanz bestreitet die Beschwerdeführerin zwar. Sie hat aber unbestrittenermassen die Rechnungen gestellt und die Leistungen erbracht, während die A._______ noch nicht im Handelsregister eingetragen war. Unter diesen Umständen wäre es nun an der Beschwerdeführerin, Belege beizubringen, die nachweisen, dass sie dies trotzdem bereits für die A._______ und nicht in eigenem Namen und auf eigene Rechnung tat. Dies hat sie - trotz ihrer Mitwirkungspflicht - nicht getan (vgl. E. 2.5.1). Damit ist festzustellen, dass der Aussenauftritt darauf schliessen lässt, dass die Beschwerdeführerin die Leistungen erbrachte und die Mehrwertsteuer auf den entsprechenden Umsätzen hätte entrichten müssen. Den Beweis des Gegenteils erbringt die nunmehr für eine allenfalls steueraufhebende Tatsache beweisbelastete Beschwerdeführerin (vgl. E. 2.5.2) nicht.</w:t>
      </w:r>
    </w:p>
    <w:p>
      <w:r>
        <w:rPr>
          <w:b/>
        </w:rPr>
        <w:t>E. 3.2.2</w:t>
      </w:r>
    </w:p>
    <w:p>
      <w:r>
        <w:t>Es bleibt zu prüfen, ob ein Stellvertretungsverhältnis vorgelegen hat, wie die Beschwerdeführerin geltend macht. Dies ist jedoch zu verneinen. Eine Stellvertretung scheitert vorliegend bereits daran, dass die Beschwerdeführerin (gegenüber der Vorinstanz und dem Gericht) nicht nachweisen kann (dazu schon E. 3.2.1), dass sie als Stellvertreterin gehandelt hat (Art. 20 Abs. 2 Bst. a MWSTG; E. 2.4.2). Die Behauptung, sie habe für die A._______ gehandelt, genügt nicht. Die Frage, ob sich ein solches Verhältnis aus den Umständen ergibt (Art. 20 Abs. 2 Bst. b MWSTG), beschlägt demgegenüber die zweite, für die Annahme eines mehrwertsteuerlichen Vertretungsverhältnisses kumulativ notwendige Voraussetzung, welche nun nicht mehr zu prüfen ist (vgl. E. 2.4.2). Ohnehin ginge aus dem dreifachen Schuldenruf im SHAB - sofern diesem eine Publizitätswirkung zukommen würde, welche sich die Vorinstanz entgegenhalten lassen müsste - einzig hervor, dass eine Abspaltung durchgeführt werden wird. Welcher Betriebsteil abgespalten wird, ist hingegen nicht ersichtlich. Noch viel weniger liesse sich daraus schliessen, dass die Beschwerdeführerin als mehrwertsteuerliche Stellvertreterin für diesen (nicht näher bezeichneten) rückwirkend abgespalteten Betriebsteil handeln würde.</w:t>
      </w:r>
    </w:p>
    <w:p>
      <w:r>
        <w:rPr>
          <w:b/>
        </w:rPr>
        <w:t>E. 3.2.3</w:t>
      </w:r>
    </w:p>
    <w:p>
      <w:r>
        <w:t>Die im 2. Quartal 2012 erbrachten, hier streitigen Leistungen sind demnach der Beschwerdeführerin zuzurechnen. Die Mehrwertsteuer auf den Umsätzen ist von der Beschwerdeführerin zu entrichten.</w:t>
      </w:r>
    </w:p>
    <w:p>
      <w:r>
        <w:rPr>
          <w:b/>
        </w:rPr>
        <w:t>E. 3.3</w:t>
      </w:r>
    </w:p>
    <w:p>
      <w:r>
        <w:t>Es bleibt, weitere Vorbringen der Verfahrensbeteiligten anzusprechen, soweit sie nicht durch das Vorstehende implizit oder explizit behandelt wurden.</w:t>
      </w:r>
    </w:p>
    <w:p>
      <w:r>
        <w:rPr>
          <w:b/>
        </w:rPr>
        <w:t>E. 3.3.1</w:t>
      </w:r>
    </w:p>
    <w:p>
      <w:r>
        <w:t>Nicht mehr relevant ist die Frage, ob ein Stellvertretungsverhältnis nur dann vorliegen könnte, wenn die A._______ selbst mehrwertsteuerpflichtig gewesen wäre, was unter anderem einen entsprechenden Aussenauftritt bedingt hätte (E. 3.2.1). Nicht einzugehen ist damit auf die Frage, ob eine frühere Eintragung im Register der mehrwertsteuerpflichtigen Personen überhaupt möglich gewesen wäre.</w:t>
      </w:r>
    </w:p>
    <w:p>
      <w:r>
        <w:rPr>
          <w:b/>
        </w:rPr>
        <w:t>E. 3.3.2</w:t>
      </w:r>
    </w:p>
    <w:p>
      <w:r>
        <w:t>Ebenfalls nicht einzugehen ist auf den Spaltungsplan vom [ersten Quartal] 2012 und die Frage, ob dieser noch hätte angepasst werden können bzw. müssen, denn am hier mehrwertsteuerrechtlich letztlich einzig wesentlichen Aussenauftritt vermöchte auch dieser nichts zu ändern. Auch der letzte Absatz in Ziff. 4 des Spaltungsplans, wonach «[d]ie den übertragenen Betrieb ganz oder bloss teilweise betreffenden, aber nicht in der Beilage enthaltenen Verträge mit Drittparteien [...] von der übertragenden Gesellschaft treuhänderisch für die übernehmende Gesellschaft unverändert, aber auf Rechnung, Nutzen und Gefahr nach Anweisung der übernehmenden Gesellschaft, weitergeführt [werden]» ändert nichts am (fehlenden) mehrwertsteuerlichen Aussenauftritt. Aus dem gleichen Grund ist auch unerheblich, ob gemäss dem Bundesgesetz vom 3. Oktober 2003 über Fusion, Spaltung, Umwandlung und Vermögensübertragung (FusG, SR 221.301) ein Schuldnerwechsel in Bezug auf die inventarisierten Forderungen erfolgt ist oder nicht, womit sich auch ein Eingehen auf die Frage, ob die Mehrwertsteuerforderungen als inventarisiert zu gelten hätten bzw. die Feststellung der Vorinstanz, dies sei nicht geschehen, weil diese [am Datum des Spaltungsplans] noch gar nicht entstanden gewesen seien, erübrigt.</w:t>
      </w:r>
    </w:p>
    <w:p>
      <w:r>
        <w:rPr>
          <w:b/>
        </w:rPr>
        <w:t>E. 3.3.3</w:t>
      </w:r>
    </w:p>
    <w:p>
      <w:r>
        <w:t>Fragen nach einer subsidiären oder Solidarhaftung nach MWSTG oder FusG stellen sich nicht, weil vorliegend die Beschwerdeführerin selbst Steuerschuldnerin ist (E. 3.2.1) und keine Stellvertretung vorliegt (E. 3.2.2).</w:t>
      </w:r>
    </w:p>
    <w:p>
      <w:r>
        <w:rPr>
          <w:b/>
        </w:rPr>
        <w:t>E. 3.3.4</w:t>
      </w:r>
    </w:p>
    <w:p>
      <w:r>
        <w:t>Weiter ist nicht entscheidrelevant, dass - wie die Vorinstanz ausführt - die Umsatzsteuer bei der Abrechnung nach vereinbarten Entgelten, im Zeitpunkt des Empfangs der Rechnung entstehe.</w:t>
      </w:r>
    </w:p>
    <w:p>
      <w:r>
        <w:rPr>
          <w:b/>
        </w:rPr>
        <w:t>E. 3.3.5</w:t>
      </w:r>
    </w:p>
    <w:p>
      <w:r>
        <w:t>Schliesslich ist nicht auf das Vorbringen der Beschwerdeführerin einzugehen, sie habe sich telefonisch bei der Vorinstanz erkundigt, wie sie vorzugehen habe. Die Beschwerdeführerin beruft sich nicht explizit auf Vertrauensschutz. Eine solche Berufung würde vorliegend ohnehin schon daran scheitern, dass nicht (mehr) nachvollziehbar ist, was damals genau besprochen wurde.</w:t>
      </w:r>
    </w:p>
    <w:p>
      <w:r>
        <w:rPr>
          <w:b/>
        </w:rPr>
        <w:t>E. 3.4</w:t>
      </w:r>
    </w:p>
    <w:p>
      <w:r>
        <w:t>Die Beschwerde erweist sich damit als unbegründet und ist abzuweisen, soweit darauf einzutreten ist.</w:t>
      </w:r>
    </w:p>
    <w:p>
      <w:r>
        <w:rPr>
          <w:b/>
        </w:rPr>
        <w:t>E. 4</w:t>
      </w:r>
    </w:p>
    <w:p>
      <w:r>
        <w:t>Die Kosten des vorliegenden Verfahrens sind auf Fr. 4'250.-- festzusetzen (Art. 2 Abs. 1 i.V.m. Art. 4 des Reglements vom 21. Februar 2008 über die Kosten und Entschädigungen vor dem Bundesverwaltungsgericht [VGKE, SR 173.320.2]) und dem Verfahrensausgang entsprechend durch die unterliegende Beschwerdeführerin zu tragen (Art. 63 Abs. 1 VwVG). Der einbezahlte Kostenvorschuss in derselben Höhe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