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A-2266/2019 vom 15. Januar 2020</w:t>
      </w:r>
    </w:p>
    <w:p>
      <w:r>
        <w:t>Bundesverwaltungsgericht, 2020-01-15, DE</w:t>
      </w:r>
    </w:p>
    <w:p>
      <w:r>
        <w:rPr>
          <w:b/>
        </w:rPr>
        <w:t xml:space="preserve">Quelle: </w:t>
      </w:r>
      <w:r>
        <w:t>https://mcp.opencaselaw.ch/entscheid/bvger_A-2266_2019</w:t>
      </w:r>
    </w:p>
    <w:p>
      <w:r>
        <w:t>FR: TAF A-2266/2019 du 15 janvier 2020</w:t>
      </w:r>
    </w:p>
    <w:p>
      <w:r>
        <w:t>IT: TAF A-2266/2019 del 15 gennaio 2020</w:t>
      </w:r>
    </w:p>
    <w:p>
      <w:pPr>
        <w:pStyle w:val="Heading2"/>
      </w:pPr>
      <w:r>
        <w:t>Regeste</w:t>
      </w:r>
    </w:p>
    <w:p>
      <w:r>
        <w:t>Beitragsverfügung der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Eine solche liegt nicht vor. Angefochten ist eine Beitragsverfügung der Auffangeinrichtung vom 11. April 2019. Die Auffangeinrichtung ist eine Vorinstanz im Sinne von Art. 33 Bst. h VGG (vgl. Art. 54 Abs. 4 des Bundesgesetzes vom 25. Juni 1982 über die berufliche Alters-, Hinterlassenen- und Invalidenvorsorge [BVG, SR 831.40]). Die Zuständigkeit des Bundesverwaltungsgerichts ist somit grundsätzlich gegeben. Das Verfahren richtet sich nach dem VwVG, soweit das VGG nichts anderes bestimmt (Art. 37 VGG).</w:t>
      </w:r>
    </w:p>
    <w:p>
      <w:r>
        <w:rPr>
          <w:b/>
        </w:rPr>
        <w:t>E. 1.2</w:t>
      </w:r>
    </w:p>
    <w:p>
      <w:r>
        <w:t>Die Beschwerdeführerin hat am vorinstanzlichen Verfahren teilgenommen, ist als Verfügungsadressatin durch die angefochtene Verfügung besonders berührt und hat ein schutzwürdiges Interesse an deren Aufhebung. Sie ist somit zur Erhebung der vorliegenden Beschwerde im Sinne von Art. 48 Abs. 1 VwVG berechtigt.</w:t>
      </w:r>
    </w:p>
    <w:p>
      <w:r>
        <w:rPr>
          <w:b/>
        </w:rPr>
        <w:t>E. 1.3</w:t>
      </w:r>
    </w:p>
    <w:p>
      <w:r>
        <w:t>Auf die im Übrigen frist- und formgerecht eingereichte Beschwerde ist demnach einzutreten (Art. 50 Abs. 1 und Art. 52 Abs. 1 VwVG).</w:t>
      </w:r>
    </w:p>
    <w:p>
      <w:r>
        <w:rPr>
          <w:b/>
        </w:rPr>
        <w:t>E. 2.1.1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auf den Zeitpunkt des Beginns der Anschlusspflicht (Art. 11 Abs. 3 BVG; statt vieler: Urteil des BVGer A-6512/2018 vom 4. Februar 2019 E. 3.4).</w:t>
      </w:r>
    </w:p>
    <w:p>
      <w:r>
        <w:rPr>
          <w:b/>
        </w:rPr>
        <w:t>E. 2.1.2</w:t>
      </w:r>
    </w:p>
    <w:p>
      <w:r>
        <w:t>Die Auffangeinrichtung ist eine Vorsorgeeinrichtung (Art. 60 Abs. 1 BVG). Sie ist verpflichtet, Arbeitgeber, die ihrer Pflicht zum Anschluss an eine Vorsorgeeinrichtung nicht nachkommen, anzuschliessen (Art. 60 Abs. 2 Bst. a BVG). Weiter ist sie verpflichtet, Arbeitgeber auf deren Begehren anzuschliessen (Art. 60 Abs. 2 Bst. b BVG). Der Anschluss erfolgt rückwirkend (Art. 11 Abs. 3 BVG). Zur Erfüllung ihrer Aufgaben nach Art. 60 Abs. 2 Bst. a und b und Art. 12 Abs. 2 BVG kann die Auffangeinrichtung Verfügungen erlassen. Diese sind vollstreckbaren Urteilen im Sinne von Artikel 80 des Bundesgesetzes vom 11. April 1889 über Schuldbetreibung und Konkurs gleichgestellt (Art. 60 Abs. 2bis BVG).</w:t>
      </w:r>
    </w:p>
    <w:p>
      <w:r>
        <w:rPr>
          <w:b/>
        </w:rPr>
        <w:t>E. 2.1.3</w:t>
      </w:r>
    </w:p>
    <w:p>
      <w:r>
        <w:t>Gemäss der Rechtsprechung hat eine Beitragsverfügung der Auf-fangeinrichtung folgende Angaben zu enthalten, damit die Anforderungen an die Begründungspflicht erfüllt sind: die relevante Beitragsperiode; die Gesamtprämiensumme pro Jahr bzw. vierteljährlich, sofern die Rechnungsstellung vierteljährlich erfolgt; pro versicherte Person pro Jahr: die Versicherungsdauer, den AHV-Lohn, den relevanten koordinierten Lohn, die Beitragssätze und die hieraus errechnete Beitragssumme; pro versicherte Person: die Höhe des Verzugszinses, unter Hinweis auf: die Zinsperiode, den Zinssatz, die rechtliche Grundlage für die Höhe des Zinssatzes und die jeweils gestellten Rechnungen und erfolgten Mahnungen; eine Auflistung der erhobenen Kosten/Gebühren unter Hinweis auf die diesen zugrunde liegenden Massnahmen; die bereits geleisteten Zahlungen des Arbeitgebers mit Valutadatum und hieraus eine Abrechnung mit Angabe der noch ausstehenden Prämienbeträge und Zinsen für ausstehende Beiträge (ab Forderungsvaluta) (siehe zum Ganzen Urteile des BVGer A-5738/2017 vom 8. November 2018 E. 2.5.3, A-4271/2016 vom 21. Juni 2017 E. 2.4, C-398/2014 vom 8. Februar 2016 E. 3.3.3).</w:t>
      </w:r>
    </w:p>
    <w:p>
      <w:r>
        <w:rPr>
          <w:b/>
        </w:rPr>
        <w:t>E. 2.2</w:t>
      </w:r>
    </w:p>
    <w:p>
      <w:r>
        <w:t>Die Verrechenbarkeit sich gegenüberstehender Forderungen stellt nach Rechtsprechung und Lehre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Sozialversicherungsrecht (BGE 110 V 183 E. 2; Hans-Ulrich Stauffer, Berufliche Vorsorge, 2. Aufl. 2012, Rz. 1094). Bei einer Verrechnung wird eine eigene Schuld durch Opferung einer eigenen Forderung getilgt, wobei diese Art der Schuldentilgung als einseitiges Rechtsgeschäft ausgestaltet ist (Wolfgang Peter, in: Heinrich Honsell et al. [Hrsg.], Basler Kommentar, Obligationenrecht I, 6. Aufl. 2015, Vor Art. 120-126 Rz. 1). Bei der Verrechnung handelt es sich um einen zur finanziellen Befriedigung des Gläubigers führenden Untergangsgrund und damit um ein echtes Bezahlungssurrogat (vgl. Urteil des BVGer A-600/2019 vom 16. Oktober 2019 E. 2.3). Das Gemeinwesen kann seine Forderungen mit Gegenforderungen der Privaten unabhängig davon zur Verrechnung bringen, ob die Forderungen oder die Gegenforderungen öffentlich- oder privatrechtlich sind (BGE 111 Ib 150 E. 3). Die Privaten dagegen können ihre Forderungen gegenüber dem Gemeinwesen mit einer öffentlich-rechtlichen Forderung des Gemeinwesens nur verrechnen, sofern dieses zustimmt (vgl. Art. 125 Ziff. 3 OR; Urteile des BVGer A-600/2019 vom 16. Oktober 2019 E. 2.3, A-2962/2018 vom 13. März 2019 E. 2.4; Verwaltungspraxis der Bundesbehörden [VPB] 58.18 E. 27; Häfelin/Müller/Uhlmann, Allgemeines Verwaltungsrecht, 7. Aufl. 2016, Rz. 793). Das Bundesgericht hat in BGE 110 V 183 auch einer privatrechtlich organisierten Krankenkasse die Eigenschaft als Gemeinwesen und somit die Anwendbarkeit des Art. 123 Ziff. 3 OR zugestanden. Der Grund für die übereinstimmenden Regelungen des Verrechnungsrecht in den meisten Sozialversicherungsgesetzen des Bundes - welche ein Verrechnungsrecht der Versicherten ausschlössen - liege darin, dass nur die Verwaltung befugt sei, Verfügungen zu erlassen, d.h. einseitig und hoheitlich über Rechte und Pflichten der Versicherten zu befinden (vgl. Art. 5 VwVG). Hieraus ergebe sich die einseitige Zuerkennung des Verrechnungsrechtes an die Verwaltung, was insbesondere auch für die Krankenversicherung zu gelten habe (BGE 110 V 183 E. 3).</w:t>
      </w:r>
    </w:p>
    <w:p>
      <w:r>
        <w:rPr>
          <w:b/>
        </w:rPr>
        <w:t>E. 3.1</w:t>
      </w:r>
    </w:p>
    <w:p>
      <w:r>
        <w:t>Zunächst ist festzuhalten, dass die Beitragsverfügung vom 11. April 2019 die Anforderungen an die Begründungspflicht erfüllt (vgl. E. 2.1.3), was von der Beschwerdeführerin auch nicht in Frage gestellt wird. Insbesondere werden darin die relevanten Beitragsjahre (2013, 2014, 2015, 2016, 1. Quartal, 2. Quartal, 3. Quartal 2017) angegeben.</w:t>
      </w:r>
    </w:p>
    <w:p>
      <w:r>
        <w:rPr>
          <w:b/>
        </w:rPr>
        <w:t>E. 3.2</w:t>
      </w:r>
    </w:p>
    <w:p>
      <w:r>
        <w:t>Im vorliegenden Fall rügt die Beschwerdeführerin einzig, dass ihr die Gutschrift aufgrund des Abtretungsvertrages vom 16. Dezember 2009 in der Höhe von CHF 2'500 nie gewährt worden sei. Sie habe diesen Umstand bereits in ihrer Beschwerde vom 12. November 2010 moniert. Dieses Verfahren wurde mit Urteil des Bundesverwaltungsgerichts C-7992/2010 vom 1. Februar 2011 aufgrund der Wiedererwägung der Vorinstanz als gegenstandslos abgeschrieben. Die Beschwerdeführerin macht somit im vorliegenden Verfahren erneut eine Reduktion der Beitragsforderung um CHF 2'500.- geltend, bestreitet aber nicht, dass die hier relevanten Beiträge für die Beitragsjahre 2013, 2014, 2015, 2016, 1. Quartal, 2. Quartal, 3. Quartal 2017 korrekt berechnet und somit grundsätzlich geschuldet sind.</w:t>
      </w:r>
    </w:p>
    <w:p>
      <w:r>
        <w:rPr>
          <w:b/>
        </w:rPr>
        <w:t>E. 3.3</w:t>
      </w:r>
    </w:p>
    <w:p>
      <w:r>
        <w:t>Mit dem Abtretungsvertrag würde jedoch - sollte er überhaupt gültig zustande gekommen sein - die Beitragsforderung gemäss der Verfügung vom 27. November 2009 teilweise, i.e. in der Höhe von CHF 2'500.-, abgetreten, d.h. Forderungen aus vorhergehenden Beitragsperioden (vor 2009) würden damit zediert. Der Abtretungsvertrag beträfe demnach Perioden ausserhalb des Anfechtungsobjekts und führte demnach nicht zu einer Reduktion der mit der angefochtenen Verfügung festgesetzten Beitragsforderung (vgl. Urteil des BVGer C-1899/2011 vom 15. Oktober 2013 E. 3.4).</w:t>
      </w:r>
    </w:p>
    <w:p>
      <w:r>
        <w:rPr>
          <w:b/>
        </w:rPr>
        <w:t>E. 3.4</w:t>
      </w:r>
    </w:p>
    <w:p>
      <w:r>
        <w:t>Auch eine Verrechnung der seitens der Beschwerdeführerin geltend gemachten Forderung aus früheren Perioden mit der Beitragsforderung gemäss der angefochtenen Verfügung ist hier nicht möglich. Damit Private ihre Forderungen gegenüber dem Gemeinwesen mit einer öffentlich-rechtlichen Forderung verrechnen können, bedarf es der Zustimmung des Gemeinwesens (E. 2.2). Eine Zustimmung der Vorinstanz - die im Sinne der bundesgerichtlichen Rechtsprechung als Gemeinwesen zu gelten hat (E. 2.1.2 und E. 2.2) - ist im vorliegenden Fall nicht erfolgt. Dementsprechend kann die Beschwerdeführerin ihre behauptete Forderung auch nicht mit der Beitragsforderung gemäss der Beitragsverfügung vom 11. April 2019 verrechnen.</w:t>
      </w:r>
    </w:p>
    <w:p>
      <w:r>
        <w:rPr>
          <w:b/>
        </w:rPr>
        <w:t>E. 3.5</w:t>
      </w:r>
    </w:p>
    <w:p>
      <w:r>
        <w:t>Die Beschwerdeführerin vermag dementsprechend nicht rechtsgenügend zu begründen, dass ihr der Betrag von CHF 2'500.- gutgeschrieben und damit einhergehend die Beitragsverfügung vom 11. April 2019 korrigiert werden soll. Bei diesem Resultat kann offen bleiben, ob der Abtretungsvertrag überhaupt rechtsgültig abgeschlossen wurde.</w:t>
      </w:r>
    </w:p>
    <w:p>
      <w:r>
        <w:rPr>
          <w:b/>
        </w:rPr>
        <w:t>E. 4.1</w:t>
      </w:r>
    </w:p>
    <w:p>
      <w:r>
        <w:t>Ausgangsgemäss sind die Verfahrenskosten, die auf CHF 700.-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keine Parteientschädigung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