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A-2262/2017 vom 23. Mai 2017</w:t>
      </w:r>
    </w:p>
    <w:p>
      <w:r>
        <w:t>Bundesverwaltungsgericht, 2017-05-23, DE</w:t>
      </w:r>
    </w:p>
    <w:p>
      <w:r>
        <w:rPr>
          <w:b/>
        </w:rPr>
        <w:t xml:space="preserve">Quelle: </w:t>
      </w:r>
      <w:r>
        <w:t>https://mcp.opencaselaw.ch/entscheid/bvger_A-2262_2017</w:t>
      </w:r>
    </w:p>
    <w:p>
      <w:r>
        <w:t>FR: TAF A-2262/2017 du 23 mai 2017</w:t>
      </w:r>
    </w:p>
    <w:p>
      <w:r>
        <w:t>IT: TAF A-2262/2017 del 23 maggio 2017</w:t>
      </w:r>
    </w:p>
    <w:p>
      <w:pPr>
        <w:pStyle w:val="Heading2"/>
      </w:pPr>
      <w:r>
        <w:t>Regeste</w:t>
      </w:r>
    </w:p>
    <w:p>
      <w:r>
        <w:t>Staatshaftung (Bund)</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Die angefochtene Verfügung ist eine Verfügung im genannten Sinn. Sie stammt von einer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Beschwerdeführerinnen nahmen am vorinstanzlichen Verfahren teil, blieben mit ihrem Schadenersatzbegehren jedoch erfolglos, da die Vorinstanz nicht darauf eintrat. Sie sind somit ohne Weiteres zur Beschwerde befugt.</w:t>
      </w:r>
    </w:p>
    <w:p>
      <w:r>
        <w:rPr>
          <w:b/>
        </w:rPr>
        <w:t>E. 1.3</w:t>
      </w:r>
    </w:p>
    <w:p>
      <w:r>
        <w:t>Die Beschwerde wurde ausserdem frist- und angesichts der immerhin ansatzweisen Begründung grundsätzlich auch formgerecht eingereicht (vgl. Art. 50 Abs. 1 und 52 Abs. 1 VwVG), weshalb darauf einzutreten ist.</w:t>
      </w:r>
    </w:p>
    <w:p>
      <w:r>
        <w:rPr>
          <w:b/>
        </w:rPr>
        <w:t>E. 2</w:t>
      </w:r>
    </w:p>
    <w:p>
      <w:r>
        <w:t>Streitgegenstand im Verfahren vor dem Bundesverwaltungsgericht ist das Rechtsverhältnis, das Gegenstand der angefochtenen Verfügung bildet, soweit es im Streit liegt. Wird ein Nichteintretensentscheid angefochten, prüft das Bundesverwaltungsgericht nur, ob dieser Entscheid zu Recht erfolgte (vgl. Moser/Beusch/Kneubühler, Prozessieren vor dem Bundesverwaltungsgericht, 2. Aufl. 2013, Rz. 2.8 und 2.164, jeweils mit Hinweisen). Vorliegend beschränkt sich die Prüfung somit auf diese Frage. Zu klären ist dabei, ob die Vorinstanz in Bezug auf das Schadenersatzbegehren der Beschwerdeführerinnen vom 16. März 2016 zu Recht die Voraussetzungen für einen auf Art. 13 Abs. 2 VwVG gestützten Nichteintretensentscheid als erfüllt erachtete.</w:t>
      </w:r>
    </w:p>
    <w:p>
      <w:r>
        <w:rPr>
          <w:b/>
        </w:rPr>
        <w:t>E. 3.1</w:t>
      </w:r>
    </w:p>
    <w:p>
      <w:r>
        <w:t>Wie erwähnt (vgl. Bst. G), stellte die Instruktionsrichterin den Beschwerdeführerinnen eine Kopie der Akten des vorinstanzlichen Verfahrens zu. Sie liess ihnen zudem die Vernehmlassung der Vorinstanz im vorliegenden Beschwerdeverfahren zukommen. Weitere die vorliegend strittige Frage betreffende Akten sind nicht vorhanden. Den Beschwerdeführerinnen wurde somit vollumfänglich Einsicht in die für das vorliegende Verfahren massgeblichen Akten gewährt. Soweit sie Einsicht in weitere Akten verlangen, geht ihr Begehren demnach über den Gegenstand dieses Verfahrens hinaus. Es ist daher unzulässig, weshalb nicht darauf einzutreten ist.</w:t>
      </w:r>
    </w:p>
    <w:p>
      <w:r>
        <w:rPr>
          <w:b/>
        </w:rPr>
        <w:t>E. 3.2</w:t>
      </w:r>
    </w:p>
    <w:p>
      <w:r>
        <w:t>Soweit die Beschwerdeführerinnen in prozessualer Hinsicht weiter beantragen, es sei das Beschwerdeverfahren zu sistieren und ihr Anliegen dem EFTA-Gerichtshof oder dem EuGH vorzulegen, ist darauf hinzuweisen, dass das Schweizer Recht kein entsprechendes Vorlageverfahren kennt. Auch sonst ist kein Grund für eine Sistierung des Beschwerdeverfahrens ersichtlich (vgl. dazu Moser/Beusch/Kneubühler, Prozessieren vor dem Bundesverwaltungsgericht, 2. Aufl. 2013, Rz. 3.14 ff.). Der Sistierungs- und Vorlageantrag der Beschwerdeführerinnen ist deshalb abzuweisen.</w:t>
      </w:r>
    </w:p>
    <w:p>
      <w:r>
        <w:rPr>
          <w:b/>
        </w:rPr>
        <w:t>E. 4.1</w:t>
      </w:r>
    </w:p>
    <w:p>
      <w:r>
        <w:t>Gemäss Art. 3 VG haftet der Bund ohne Rücksicht auf das Verschulden des Beamten für den Schaden, den dieser in Ausübung seiner amtlichen Tätigkeit Dritten widerrechtlich zufügt. Nach Art. 12 VwVG stellt die Behörde den Sachverhalt grundsätzlich von Amtes wegen fest. Die Parteien sind nach Art. 13 Abs. 1 VwVG jedoch namentlich dann verpflichtet, an der Feststellung des Sachverhalts mitzuwirken, wenn sie ein Verfahren durch ihr Begehren einleiten (Bst. a). Verweigern sie in einem solchen Fall die notwendige und zumutbare Mitwirkung, braucht die Behörde auf ihr Begehren nicht einzutreten (vgl. Art. 13 Abs. 2 VwVG). Nach Lehre und Praxis hat sie von dieser Möglichkeit allerdings nur zurückhaltend und als "ultima ratio" Gebrauch zu machen. Sie soll einen Nichteintretensentscheid nur fällen, wenn eine materielle Beurteilung des Begehrens trotz Aufforderung, dieses nachzubessern, und ausreichender Aufklärung über die Mitwirkungspflichten ausgeschlossen ist und keine öffentlichen Interessen ein Eintreten bzw. einen materiellen Entscheid notwendig machen (vgl. zum Ganzen Urteil des BVGer A-6542/2012 vom 22. April 2013 E. 4.1; C-5496/2010 vom 14. Juni 2011 insb. E. 6.2; Krauskopf/Emmenegger/Babey, in: Praxiskommentar VwVG, 2. Aufl. 2016, N. 50 ff., 73 ff. zu Art. 13 VwVG m.w.H.).</w:t>
      </w:r>
    </w:p>
    <w:p>
      <w:r>
        <w:rPr>
          <w:b/>
        </w:rPr>
        <w:t>E. 4.2</w:t>
      </w:r>
    </w:p>
    <w:p>
      <w:r>
        <w:t>Wie die Vorinstanz zutreffend ausführt, geht vorliegend aus dem Schadenersatzbegehren der Beschwerdeführerinnen vom 16. März 2016 der rechtserhebliche Sachverhalt in keiner Weise hervor. Welches Verhalten welches oder welcher Bundesbeamten aus welchen Gründen zu welchem Schaden bei den Beschwerdeführerinnen geführt haben soll, ist daraus nicht ersichtlich. Der rechtserhebliche Sachverhalt ergibt sich weiter auch nicht aus der ergänzenden Stellungnahme der Beschwerdeführerinnen vom 10. Mai 2016. Dies, obschon die Vorinstanz die Beschwerdeführerinnen mit Schreiben vom 3. Mai 2016 auf die Voraussetzungen der Staatshaftung nach dem VG hinwies, ihnen mitteilte, ihr Begehren lasse in Bezug auf den Sachverhalt jede Klarheit vermissen und sie unter Hinweis auf ihre Mitwirkungspflichten nach Art. 13 Abs. 1 Bst. a VwVG sowie unter Androhung eines auf Art. 13 Abs. 3 (recte: Abs. 2) VwVG gestützten Nichteintretensentscheids in klar verständlicher Sprache detailliert aufforderte, ihr Begehren insbesondere um konkrete Ausführungen zu den Haftungsvoraussetzungen zu ergänzen und entsprechende Belege einzureichen. Indem die Beschwerdeführerinnen von der ihnen eingeräumten Möglichkeit, ihr Schadenersatzbegehren wie von der Vorinstanz erläutert nachzubessern und einschlägige Belege einzureichen, keinen Gebrauch machten, verletzten sie ihre nach Art. 13 Abs. 1 Bst. a VwVG bestehende Pflicht zur notwendigen und zumutbaren Mitwirkung bei der Feststellung des rechtserheblichen Sachverhalts. Ihr gegenteiliges Vorbringen (vgl. Bst. F) ändert daran nichts, ist es doch nicht konkretisiert und daher eine blosse Behauptung. Als Folge ihrer Pflichtverletzung lagen der Vorinstanz keinerlei konkrete Angaben oder Dokumente zum rechtserheblichen Sachverhalt vor. Sie war entsprechend ausserstande, das Schadenersatzbegehren materiell zu beurteilen. Angesichts dessen sowie der auch für die Zukunft nicht zu erwartenden Mitwirkung der Beschwerdeführerinnen an der Feststellung des ihrem Begehren zugrunde liegenden Sachverhalts brauchte sie nach Art. 13 Abs. 2 VwVG nicht auf dieses einzutreten, zumal keine öffentlichen Interessen ein Eintreten bzw. einen materiellen Entscheid notwendig machten. Die Umstände des vorliegenden Falls rechtfertigten mithin trotz der dargelegten restriktiven Voraussetzungen bzw. der gebotenen Zurückhaltung (ausnahmsweise) einen auf diese Bestimmung gestützten Nichteintretensentscheid. Die Beschwerde erweist sich somit als unbegründet und ist daher abzuweisen, ohne dass Beweismassnahmen erforderlich wären. Soweit die Beschwerdeführerinnen solche Massnahmen verlangen, ist ihr prozessualer Antrag daher ebenfalls abzuweisen.</w:t>
      </w:r>
    </w:p>
    <w:p>
      <w:r>
        <w:rPr>
          <w:b/>
        </w:rPr>
        <w:t>E. 5.1</w:t>
      </w:r>
    </w:p>
    <w:p>
      <w:r>
        <w:t>Bei diesem Ergebnis gelten die Beschwerdeführerinnen als unterliegend. Sie hätten deshalb grundsätzlich die Verfahrenskosten zu tragen (vgl. Art. 63 Abs. 1 VwVG). Angesichts der vorliegenden Umstände, insbesondere des geringen Verfahrensaufwands, erscheint es jedoch gerechtfertigt, von einer Kostenauflage abzusehen (vgl. Art. 6 Bst. b des Reglements vom 21. Februar 2008 über die Kosten und Entschädigungen vor dem Bundesverwaltungsgericht [VGKE, SR 173.320.2]).</w:t>
      </w:r>
    </w:p>
    <w:p>
      <w:r>
        <w:rPr>
          <w:b/>
        </w:rPr>
        <w:t>E. 5.2</w:t>
      </w:r>
    </w:p>
    <w:p>
      <w:r>
        <w:t>Die obsiegende Vorinstanz hat als Bundesbehörde keinen Anspruch auf eine Parteientschädigung (vgl. Art. 7 Abs. 3 VGKE). Den unterliegenden Beschwerdeführerinnen steht ebenfalls keine solche Entschädigung zu (vgl. Art. 64 Abs. 1 VwVG und Art. 7 Abs. 1 VGKE, jeweils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