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A-2258/2008 vom 4. August 2008</w:t>
      </w:r>
    </w:p>
    <w:p>
      <w:r>
        <w:t>Bundesverwaltungsgericht, 2008-08-04, DE</w:t>
      </w:r>
    </w:p>
    <w:p>
      <w:r>
        <w:rPr>
          <w:b/>
        </w:rPr>
        <w:t xml:space="preserve">Quelle: </w:t>
      </w:r>
      <w:r>
        <w:t>https://mcp.opencaselaw.ch/entscheid/bvger_A-2258_2008</w:t>
      </w:r>
    </w:p>
    <w:p>
      <w:r>
        <w:t>FR: TAF A-2258/2008 du 4 août 2008</w:t>
      </w:r>
    </w:p>
    <w:p>
      <w:r>
        <w:t>IT: TAF A-2258/2008 del 4 agosto 2008</w:t>
      </w:r>
    </w:p>
    <w:p>
      <w:pPr>
        <w:pStyle w:val="Heading2"/>
      </w:pPr>
      <w:r>
        <w:t>Regeste</w:t>
      </w:r>
    </w:p>
    <w:p>
      <w:r>
        <w:t>Gerätezulassungen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ist eine Vorinstanz im Sinne von Art. 33 Bst. d VGG und eine Ausnahme, was das Sachgebiet betrifft, ist nicht gegeben (Art. 32 VGG). Das Bundesverwaltungsgericht ist daher zur Beurteilung der vorliegenden Beschwerde zuständig.</w:t>
      </w:r>
    </w:p>
    <w:p>
      <w:r>
        <w:rPr>
          <w:b/>
        </w:rPr>
        <w:t>E. 1.1</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1.2</w:t>
      </w:r>
    </w:p>
    <w:p>
      <w:r>
        <w:t>Auf die im Übrigen frist- und formgerecht eingereichte Beschwerde (Art. 50 und 52 VwVG) ist demnach einzutreten.</w:t>
      </w:r>
    </w:p>
    <w:p>
      <w:r>
        <w:rPr>
          <w:b/>
        </w:rPr>
        <w:t>E. 2</w:t>
      </w:r>
    </w:p>
    <w:p>
      <w:r>
        <w:t>Gemäss Art. 31 Abs. 1 des Fernmeldegesetzes vom 30. April 1997 (FMG, SR 784.10) kann der Bundesrat technische Vorschriften über das Anbieten, das Inverkehrbringen und die Inbetriebnahme von Fernmeldeanlagen festlegen, insbesondere hinsichtlich grundlegender fernmeldetechnischer Anforderungen sowie der Konformitätsbewertung, Konformitätsbescheinigung, Konformitätserklärung, Kennzeichnung, Anmeldung und Nachweispflicht. Durch den Erlass der Verordnung vom 14. Juni 2002 über Fernmeldeanlagen (FAV, SR 784.101.2) hat der Bundesrat von dieser Möglichkeit Gebrauch gemacht. Hiernach ist unter Anbieten jedes auf das Inverkehrbringen von Fernmeldeanlagen gerichtete Verhalten, sei es durch Ausstellen in Geschäftsräumen oder an Veranstaltungen, durch Abbilden in Werbeprospekten, Katalogen, elektronischen Medien oder auf andere Weise, zu verstehen (Art. 2 Abs. 1 Bst. e FAV). Auf ihrer Webseite (www.computerag.ch) führt die Beschwerdeführerin aus, im Bereich Netzwerk-Kommunikation und IT Service tätig zu sein. Sie betreue Firmen und Private im Bereich der elektronischen Datenverarbeitung und leiste Support, Beratung, Lieferung und Installation von Computer-, Netzwerk-Systemen, Internet, Telefonie und Überwachungsanlagen. Über den Link "Überwachungsanlagen - Funk-Kameras" gelangt man zu den von der Vorinstanz beanstandeten Fernmeldeanlagen. Bei diesem Darbieten der fraglichen Geräte handelt es sich um Anbieten im Sinne von Art. 2 Abs. 1 Bst. e FAV; dies wird von der Beschwerdeführerin denn auch nicht bestritten - ebenso wenig, dass es sich bei den betroffenen Geräten um Fernmeldeanlagen im Sinne von Art. 3 Bst. d FMG handelt.</w:t>
      </w:r>
    </w:p>
    <w:p>
      <w:r>
        <w:rPr>
          <w:b/>
        </w:rPr>
        <w:t>E. 3</w:t>
      </w:r>
    </w:p>
    <w:p>
      <w:r>
        <w:t>Eine Fernmeldeanlage darf gemäss Art. 6 FAV i.V.m. Art. 31 FMG aber nur dann angeboten oder in Verkehr gebracht werden, wenn sie die in Art. 7 FAV genannten grundlegenden fernmeldetechnischen Anforderungen erfüllt und den übrigen einschlägigen Bestimmungen der FAV genügt (Art. 9-12 FAV). Wenn Grund zur Annahme besteht, dass eine Fernmeldeanlage den Vorschriften nicht entspricht, führt das Bundesamt eine Kontrolle durch (Art. 22 ff. FAV i.V.m. Art. 33 FMG). Art. 12 Abs. 1 FAV sieht in diesem Zusammenhang zudem vor, dass zusätzlich zu den Bestimmungen für die Konformitätsbewertungsverfahren die für das Inverkehrbringen von Fernmeldeanlagen verantwortliche Person die technischen Unterlagen vorlegen können muss, welche die Konformität mit den grundlegenden Anforderungen nachweisen. Ergibt die Kontrolle oder die Überprüfung, dass die Bestimmungen der FAV oder die Vorschriften des Bundesamtes verletzt wurden, so kann das Bundesamt nach Anhörung der für das Anbieten, das Inverkehrbringen oder das Betreiben verantwortlichen Person die entsprechenden Massnahmen nach Art. 33 Abs. 3 FMG anordnen. Hiernach kann es insbesondere das Erstellen und Betreiben sowie das Anbieten und Inverkehrbringen einschränken oder verbieten, die Herstellung des vorschriftsgemässen Zustandes oder den Rückruf anordnen oder die Anlage entschädigungslos beschlagnahmen.</w:t>
      </w:r>
    </w:p>
    <w:p>
      <w:r>
        <w:rPr>
          <w:b/>
        </w:rPr>
        <w:t>E. 4</w:t>
      </w:r>
    </w:p>
    <w:p>
      <w:r>
        <w:t>Für die Vorinstanz waren die von der Beschwerdeführerin beschriebenen Eigenschaften der betroffenen angebotenen Anlagen (Reichweite, Leistung usw.) Hinweise, dass die Geräte nicht gesetzeskonform sind, weshalb in der Folge eine Kontrolle eingeleitet wurde. Da im Rahmen dieser keine Muster erhoben werden konnten, wurde die Beschwerdeführerin von der Vorinstanz aufgefordert, die technischen Unterlagen zuzustellen. Die Beschwerdeführerin ist dieser Aufforderung nicht nachgekommen und hat auch die Möglichkeit, zur Konformität bzw. Nichtkonformität der betroffenen Geräte Stellung zu nehmen, nicht wahrgenommen. Da die Anlagen aufgrund der Angaben auf der Webseite der Beschwerdeführerin nicht gesetzeskonform sind, hat die Vorinstanz in der Folge die angefochtene Verfügung erlassen.</w:t>
      </w:r>
    </w:p>
    <w:p>
      <w:r>
        <w:rPr>
          <w:b/>
        </w:rPr>
        <w:t>E. 4.1</w:t>
      </w:r>
    </w:p>
    <w:p>
      <w:r>
        <w:t>Die Beschwerdeführerin erklärt hierzu, weder habe es eines der beschriebenen Geräte je gegeben noch werde es eines je geben. Folglich sei es unmöglich, Beschriebe oder Gebrauchsanleitungen zu organisieren. Die Geräte basierten auf purer erfinderischer Phantasie eines Lehrlings, um die Webseite interessant zu machen und aufzupeppen. Diese Erfindungen seien von ihr niemals verkauft oder hergestellt worden und sie habe auch noch nie eine Anfrage für ein solches Gerät erhalten. Als kleine Dienstleistungsfirma, die täglich ums Überleben kämpfe, sei sie momentan nicht in der Lage, einen Webdesigner zu engagieren, um die Webseite umzugestalten.</w:t>
      </w:r>
    </w:p>
    <w:p>
      <w:r>
        <w:rPr>
          <w:b/>
        </w:rPr>
        <w:t>E. 5</w:t>
      </w:r>
    </w:p>
    <w:p>
      <w:r>
        <w:t>Die Beschwerdeführerin bestreitet nicht, dass die beanstandeten, auf ihrer Webseite angebotenen Geräte den gesetzlichen Anforderungen nicht genügen. Dass diese Geräte gar nicht wirklich existieren und nur zwecks Profilierung der Webseite von einem Lehrling der Beschwerdeführerin erfunden worden sind, ändert nichts daran, dass mit deren Anbietung (vgl. hierzu E. 2 hiervor) die gesetzlichen Bestimmungen verletzt werden. Folglich hat die Vorinstanz zu Recht in Anwendung von Art. 33 Abs. 3 FMG ein Verbot erlassen, die entsprechenden Anlagen anzubieten oder in Verkehr zu bringen und die Beschwerdeführerin verwarnt, verbunden mit dem Hinweis, dass bei weiteren Verstös-sen gegen die anwendbaren Bestimmungen Bussen erhoben werden (Art. 52 und 53 FMG). Der Einwand der Beschwerdeführerin, sie sei als kleine Dienstleistungsfirma, die täglich ums Überleben kämpfe, nicht in der Lage, einen Webdesigner zu engagieren, um die Webseite umzugestalten, vermag daran nichts zu ändern. Vielmehr mutet dieses Vorbringen seltsam an, da die Beschwerdeführerin auf ihrer Webseite festhält, sie biete Dienstleistungen und Produkte für die Erstellung und die Pflege von Webseiten, mit denen Informationen für die Kunden zugänglich gemacht würden (vgl. www.computerag.ch/INTERNET). Folglich verfügt sie offenbar selber über diesen Dienst und braucht für die entsprechende Korrektur auf ihrer Webseite keinen externen Webdesigner anzustellen.</w:t>
      </w:r>
    </w:p>
    <w:p>
      <w:r>
        <w:rPr>
          <w:b/>
        </w:rPr>
        <w:t>E. 6</w:t>
      </w:r>
    </w:p>
    <w:p>
      <w:r>
        <w:t>Gestützt auf vorstehende Erwägungen erweist sich die Beschwerde als unbegründet und ist abzuweisen.</w:t>
      </w:r>
    </w:p>
    <w:p>
      <w:r>
        <w:rPr>
          <w:b/>
        </w:rPr>
        <w:t>E. 7</w:t>
      </w:r>
    </w:p>
    <w:p>
      <w:r>
        <w:t>Bei diesem Verfahrensausgang gilt die Beschwerdeführerin als unterliegende Partei und hat die Verfahrenskosten zu tragen (Art. 63 Abs. 1 VwVG). Die ihr aufzuerlegenden Verfahrenskosten von Fr. 800.--, bestehend aus Spruch- und Schreibgebühren, sind mit dem geleisteten Kostenvorschuss in gleicher Höhe zu verrechnen (Art. 1 ff. des Reglements vom 21. Februar 2008 über die Kosten und Entschädigungen vor dem Bundesverwaltungsgericht ([VGKE, SR 173.320.2]). Angesichts ihres Unterliegens hat die Beschwerdeführerin keinen Anspruch auf eine Parteientschädigung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