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A-2251/2013 vom 13. Dezember 2013</w:t>
      </w:r>
    </w:p>
    <w:p>
      <w:r>
        <w:t>Bundesverwaltungsgericht, 2013-12-13, FR</w:t>
      </w:r>
    </w:p>
    <w:p>
      <w:r>
        <w:rPr>
          <w:b/>
        </w:rPr>
        <w:t xml:space="preserve">Quelle: </w:t>
      </w:r>
      <w:r>
        <w:t>https://mcp.opencaselaw.ch/entscheid/bvger_A-2251_2013</w:t>
      </w:r>
    </w:p>
    <w:p>
      <w:r>
        <w:t>FR: TAF A-2251/2013 du 13 décembre 2013</w:t>
      </w:r>
    </w:p>
    <w:p>
      <w:r>
        <w:t>IT: TAF A-2251/2013 del 13 dicembre 2013</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 l'Association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1er de l'ordonnance du 7 décembre 1992 sur l'ESTI [O-IFICF, RS 734.24]). Sa décision du 18 mai 2010 satisfait aux conditions posées par l'art. 5 de la loi fédérale du 20 décembre 1968 sur la procédure administrative (PA; RS 172.021) et n'entre pas dans le champ d'exclusion de l'art. 32 de la loi du 17 juin 2005 sur le Tribunal administratif fédéral (LTAF, RS 173.32). Partant, le Tribunal de céans est compétent pour connaître du litige.</w:t>
      </w:r>
    </w:p>
    <w:p>
      <w:r>
        <w:rPr>
          <w:b/>
        </w:rPr>
        <w:t>E. 1.2</w:t>
      </w:r>
    </w:p>
    <w:p>
      <w:r>
        <w:t>Déposé en temps utile par le destinataire de la décision attaquée (art. 22 ss, 48 et 50 PA), le recours répond au surplus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Dans le même sens, l'administré qui adresse une demande à l'administration dans son propre intérêt doit la motiver et apporter les éléments en sa possession permettant d'établir la preuve des faits dont il se prévaut (ATF 132 III 731 consid. 3.5).</w:t>
      </w:r>
    </w:p>
    <w:p>
      <w:r>
        <w:rPr>
          <w:b/>
        </w:rPr>
        <w:t>E. 3</w:t>
      </w:r>
    </w:p>
    <w:p>
      <w:r>
        <w:t>Le présent litige revient à examiner si l'autorité inférieure était en droit d'ordonner au recourant de transmettre le rapport de sécurité relatif à son installation électrique à son exploitant de réseau jusqu'au 8 juin 2013. Dans un second temps, il s'agira également d'examiner si l'autorité inférieure était en droit de mettre un émolument de 600 francs à la charge du recourant (cf. consid. 4 ci-après).</w:t>
      </w:r>
    </w:p>
    <w:p>
      <w:r>
        <w:rPr>
          <w:b/>
        </w:rPr>
        <w:t>E. 3.1</w:t>
      </w:r>
    </w:p>
    <w:p>
      <w:r>
        <w:t>Selon l'art. 20 al. 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OIBT, les installations électriques doivent être établies, modifiées, entretenues et contrôlées selon les règles techniques reconnues et ne doivent mettre en danger ni les personnes, ni les choses, même en cas d'infraction aux règles ou de dérangement prévisibles. A teneur de l'art. 4 al. 1 OIBT,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ménages, cf. art. 36 OIBT et l'annexe à l'OIBT, ch. 2 let. b). 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(art. 32 al. 1 OIBT; arrêt du Tribunal fédéral 2C_1/2009 du 11 septembre 2009 consid. 4.3)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 De jurisprudence constante, le propriétaire de l'installation est seul responsable de l'envoi du rapport de sécurité dans le délai imparti à l'exploitant de réseau (art. 5 al. 1 2e phr. en relation avec l'art. 36 al. 1 OIBT); en cas d'inexécution ou d'exécution tardive de cette obligation, il doit en assumer les conséquences (entre autres, cf. arrêts du Tribunal administratif fédéral A-7151/2008 du 10 février 2009 consid. 3.2 et A-7007/2008 du 24 février 2009 consid. 4).</w:t>
      </w:r>
    </w:p>
    <w:p>
      <w:r>
        <w:rPr>
          <w:b/>
        </w:rPr>
        <w:t>E. 3.2</w:t>
      </w:r>
    </w:p>
    <w:p>
      <w:r>
        <w:t>En l'occurrence, il ressort du dossier que le 9 novembre 2012, l'autorité inférieure a imparti au recourant un "dernier délai" au 9 février 2013 pour transmettre le rapport de sécurité de son installation à l'exploitant de réseau. Or c'est en vain que le recourant affirme qu'il s'est acquitté de ses obligations dans le délai imparti. Certes, il semble acquis que les travaux de remise en conformité de l'installation du recourant ont été effectués avant l'échéance du délai - soit le 28 janvier 2013 - par l'entreprise C._______ SA (cf. la facture de cette entreprise du 25 février 2013). S'il entendait régulariser sa situation, le recourant disposait alors encore de deux semaines pour faire signer à cette entreprise le talon "rapport de mise en conformité N° (...)" reçu le 1er décembre 2010 de l'organe de contrôle et le transmettre, avec le rapport d'inspection, à l'exploitant de réseau à l'adresse indiquée. Au lieu de cela, C._______ SA n'a signé le document que le 27 février 2013 - cf. la pièce produite par le recourant lui-même -, soit largement hors délai. Par la suite, le document n'a même pas été transmis à l'exploitant de réseau, ce qui n'a été chose faite que le 12 avril 2013, soit à réception de la décision attaquée (cf. courriel du 15 avril 2013 des Services industriels de (...) à l'ESTI). Pour expliquer ce retard, le recourant n'invoque aucune excuse valable. Certes, on ne peut exclure un manque de diligence de la part de l'entreprise mandatée par le recourant, qui a visiblement tardé à signer le rapport de mise en conformité, pour ensuite oublier de le faire suivre à l'adresse pourtant clairement indiquée. Cela étant, comme on l'a vu ci-dessus, c'est à tort que le recourant s'est entièrement reposé sur cette entreprise pour le règlement de la présente affaire, alors même qu'elle tardait visiblement à faire le nécessaire (cf. le courriel du recourant à l'ESTI du 8 mars 2013). Comme on l'a vu ci-dessus (cf. consid. 3.1), le propriétaire de l'installation est en effet seul responsable de la transmission dans les délais du rapport de sécurité à l'exploitant de réseau. En cas de non-respect de cette obligation - et ce pour quelque raison que ce soit -, il doit en assumer les conséquences.</w:t>
      </w:r>
    </w:p>
    <w:p>
      <w:r>
        <w:rPr>
          <w:b/>
        </w:rPr>
        <w:t>E. 3.3</w:t>
      </w:r>
    </w:p>
    <w:p>
      <w:r>
        <w:t>Il résulte de ce qui précède qu'au jour du prononcé de cette décision, le recourant n'avait toujours pas apporté la preuve que l'installation électrique de son appartement était en bon état de marche. Le fait que, par l'envoi du rapport de sécurité en date du 12 avril 2013 - soit postérieurement à la décision attaquée du 8 avril 2013 -, le recourant se soit finalement conformé à la loi, ne saurait remettre en cause la situation de non-conformité au droit dans laquelle il se trouvait au moment où la décision querellée a été rendue. Il convient bien plutôt de considérer que c'est cette décision qui a conduit le recourant à finalement s'exécuter. Dans ces conditions, l'autorité inférieure était légitimée à rendre une décision soumise à émolument, comme elle l'avait annoncé précédemment. Cela étant, et dans la mesure où le rapport de sécurité a depuis lors été déposé, le Tribunal de céans ne peut que constater que, de par le fait du recourant, le recours est devenu sans objet en ce qui touche l'injonction relative au dépôt de ce rapport.</w:t>
      </w:r>
    </w:p>
    <w:p>
      <w:r>
        <w:rPr>
          <w:b/>
        </w:rPr>
        <w:t>E. 4</w:t>
      </w:r>
    </w:p>
    <w:p>
      <w:r>
        <w:t>C'est encore en vain que le recourant critique l'émolument de 600 francs mis à sa charge par l'autorité inférieure. A ce sujet, l'on rappellera tout d'abord que contrairement à ce que croit le recourant, l'émolument en cause ne constitue pas une "amende" mais uniquement une somme, soumise au large pouvoir d'appréciation de l'IFICF, destinée à couvrir les frais d'établissement de la décision attaquée (cf. art. 9 al. 1 2e phr. O-IFICF en relation avec l'art. 41 OIBT; arrêt du Tribunal administratif fédéral A-190/2013 du 27 mai 2013 consid. 4). Or en l'occurrence, l'émolument prélevé est fondé aussi bien quant à son principe que quant à son montant. Tout d'abord, c'est à juste titre que l'exploitant de réseau a fait appel à l'ESTI dès lors qu'il ne parvenait pas, malgré deux rappels, à obtenir du recourant qu'il lui remette le rapport de sécurité relatif à son installation (cf. art. 36 al. 3 et 40 al. 3 OIBT). Le fait, en particulier, que le rapport de sécurité ait, entre temps, été déposé n'y change rien, puisque l'autorité inférieure avait déjà fourni, à bon droit, l'activité pour laquelle l'émolument a été perçu. Quant au montant fixé, il se situe au niveau inférieur de l'échelle (max. 1'500 fr. jusqu'au 30 novembre 2013 [RO 2002 128]; max. 3'000 fr. actuellement) prévue à l'art. 9 al. 1 O-IFICF (cf. arrêts du Tribunal administratif fédéral A-5133/2009 du 1er février 2010 consid. 4.1 et A-4114/2008 du 25 novembre 2008 consid. 7.1). La demande du recourant tendant à l'annulation de cet émolument ne peut dès lors être admise.</w:t>
      </w:r>
    </w:p>
    <w:p>
      <w:r>
        <w:rPr>
          <w:b/>
        </w:rPr>
        <w:t>E. 5</w:t>
      </w:r>
    </w:p>
    <w:p>
      <w:r>
        <w:t>Sur le vu de ce qui précède, le recours doit être rejeté, dans la mesure où il n'est pas devenu sans objet. 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