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A-2242/2022 vom 28. September 2022</w:t>
      </w:r>
    </w:p>
    <w:p>
      <w:r>
        <w:t>Bundesverwaltungsgericht, 2022-09-28, IT</w:t>
      </w:r>
    </w:p>
    <w:p>
      <w:r>
        <w:rPr>
          <w:b/>
        </w:rPr>
        <w:t xml:space="preserve">Quelle: </w:t>
      </w:r>
      <w:r>
        <w:t>https://mcp.opencaselaw.ch/entscheid/bvger_A-2242_2022</w:t>
      </w:r>
    </w:p>
    <w:p>
      <w:r>
        <w:t>FR: TAF A-2242/2022 du 28 septembre 2022</w:t>
      </w:r>
    </w:p>
    <w:p>
      <w:r>
        <w:t>IT: TAF A-2242/2022 del 28 settembre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dell'insorgente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dell'autorità inferiore del 22 giugno 2020, con cui ha accolto la domanda raggruppata italiana di assistenza amministrativa del 23 novembre 2018, per quanto concerne il qui ricorrente. In tale contesto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basa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formulate.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ampia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estenderne, né restringerne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ammessa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si applica,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questo Tribunale rileva come in concreto la domanda raggruppata italiana di assistenza amministrativa del 23 novembre 2018, alla base della presente procedura di ricorso, sia già stata oggetto - come detto (cfr. fatti, sub lett. E) - della sentenza pilota del TAF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relazione agli elementi su cui il Tribunale federale non si è pronunciato nella predetta sentenza 2C_73/2021, possono essere, di principio, ancora esaminate in dettaglio dal TAF. Per quanto attiene alle censure già evase dal Tribunale federale, questo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corrisponde altresì a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 TAF,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federale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per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stabilito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4.3.1</w:t>
      </w:r>
    </w:p>
    <w:p>
      <w:r>
        <w:t>Nel proprio gravame, il ricorrente sostiene che l'Agreement between the competent authorities of the Swiss Confederation and Italy on exchange of information through group requests del 2 marzo 2017 non costituisce una base convenzionale sufficiente per giustificare la domanda raggruppata italiana di assistenza amministrativa del 23 novembre 2018, la quale sarebbe per altro in contrasto anche con le condizioni previste dalla CDI CH-IT, nonché da quanto stabilito dall'art. 8 cpv. 2 LAAF. Concretamente, il ricorrente lascia intendere che la domanda raggruppata, a suo dire insufficientemente dettagliata, non adempie le tre condizioni poste dalla giurisprudenza che permettono di escludere l'esistenza di una « fishing expedition ». L'insorgente lamenta inoltre una violazione del principio della buona fede, dal momento che l'autorità richiedente italiana non ha minimamente indicato come è venuta in possesso della lettera del 3 febbraio 2014, mentre l'autorità richiesta neppure ha verificato se la lettera in parola fosse stata ottenuta lecitamente o meno. Il ricorrente lamenta infine l'assenza di una spiegazione circa l'invocato rispetto del principio della sussidiarietà, ritenendo che l'AFC ha forzato il diritto imponendo investigazioni che non le competevano e adoperandosi alfine di sanare il vizio allegatorio dell'autorità richiedente italiana (cfr. ricorso del 16 maggio 2022, pp. 7-12; osservazioni spontanee del 2 agosto 2022, pp. 2-5).</w:t>
      </w:r>
    </w:p>
    <w:p>
      <w:r>
        <w:rPr>
          <w:b/>
        </w:rPr>
        <w:t>E. 4.3.2</w:t>
      </w:r>
    </w:p>
    <w:p>
      <w:r>
        <w:t>Tali censure non possono che essere respinte. Gli argomenti sollevati dal ricorrente circa l'ammissibilità formale e materiale della domanda raggruppata italiana di assistenza amministrativa del 23 novembre 2018, non sono infatti nuovi o tali da rimettere in discussione quanto già sancito da questo Tribunale con sentenza pilota A-1296/2020 del 21 dicembre 2020 e dal Tribunale federale con sentenza di principio 2C_73/2021 del 27 dicembre 2021 (cfr. considd. 4.1 e 4.2 del presente giudizio). È la predetta domanda raggruppata in quanto tale infatti che è stata ritenuta ammissibile dal Tribunale federale. Ora, questa stessa domanda è alla base della presente procedura di ricorso, sicché non si può seguire il ricorrente allorquando ritiene - contrariamente a quanto stabilito dal Tribunale federale - che l'istanza non sia conforme alla CDI CH-IT o all'Accordo amministrativo del 2 marzo 2017 (si cfr. sentenza TF 2C_73/2021 consid. 5). D'altro canto, come sancito dal Tribunale federale nella citata sentenza di principio, poco importa se la domanda raggruppata menzionasse in un primo tempo la lettera del 3 febbraio 2014, il cui invio effettivo ai clienti della banca non ha potuto essere dimostrato: il riferimento a tale lettera e la ricezione della stessa da parte del ricorrente, non ha infatti alcuna conseguenza sull'ammissibilità della domanda raggruppata (sentenza TF 2C_73/2021 consid. 4.3.2).</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w:t>
      </w:r>
    </w:p>
    <w:p>
      <w:r>
        <w:rPr>
          <w:b/>
        </w:rPr>
        <w:t>E. 5.1</w:t>
      </w:r>
    </w:p>
    <w:p>
      <w:r>
        <w:t>Nel suo gravame il ricorrente contesta di aver mai ricevuto gli scritti del 3 febbraio 2014 e del 20 febbraio 2015 relativi alle nuove disposizioni per la clientela italiana con residenza fiscale in Italia, e fa valere di non averne preso conoscenza in altro modo. Riguardo a tale circostanza egli insiste sul fatto che non vi sono elementi agli atti suscettibili di dimostrare che tale comunicazione sia stata effettivamente portata alla sua conoscenza o inserita nel suo dossier. Così stando le cose l'interessato non ritiene pertanto di rientrare nel modello di comportamento in parola e quindi nella cerchia di persone toccate dalla domanda di assistenza amministrativa italiana in esame. Tale argomentazione, come pure quella relativa alla pretesa privatizzazione di compiti di diritto pubblico, non possono essere seguite dal Tribunale adito (cfr. ricorso del 16 maggio 2022, pp. 11-14).</w:t>
      </w:r>
    </w:p>
    <w:p>
      <w:r>
        <w:rPr>
          <w:b/>
        </w:rPr>
        <w:t>E. 5.2</w:t>
      </w:r>
    </w:p>
    <w:p>
      <w:r>
        <w:t>A tal proposito si rileva innanzitutto che, da un esame degli atti dell'incarto - e meglio della documentazione fornita dalla banca B._______/C._______ (cfr. atto n. 18.2 dell'incarto prodotto dall'autorità inferiore su chiave USB [di seguito: inc. AFC]) - risulta chiaramente che durante il periodo interessato dalla predetta domanda raggruppata (ossia dal 23 febbraio 2015 al 31 dicembre 2016), il ricorrente era titolare di un conto bancario presso la banca B._______/C._______, sul quale erano depositati il 28 febbraio 2015 fr. 452'845.14 (cfr. atto n. 18.2 e 18.3 inc. AFC). Non vi è inoltre motivo di dubitare che quest'ultimo abbia avuto conoscenza del tenore dello scritto del 20 febbraio 2015, nonostante la notifica dello stesso sia presumibilmente avvenuta presso la società Ridos SA con sede a Lugano - dalla quale non è possibile ottenere maggiori ragguagli, essendo stata posta in liquidazione nel dicembre 2016 e cancellata dal registro delle imprese il 7 giugno 2019 - che era stata designata dal ricorrente quale recapito per la trasmissione della corrispondenza bancaria (cfr. Domanda di apertura conto / deposito del 2 settembre 2010 [atto n. 18.2 pag. 2 inc. AFC]). Tale circostanza, oltre ad emergere espressamente dall'incarto (si cfr. atto 18.2 pag. 6, dove si indica: « Based on the appearance of the following key words and the manual review of the client communication notes by the RM in the relevant period, it could be concluded that the client was aware »), è inoltre desumibile dal comportamento adottato dallo stesso a fronte delle importanti restrizioni dei servizi bancari immediatamente applicate dalla banca e persistenti fino all'avvenuta prova della conformità fiscale del proprio conto presso la predetta banca. In data 8 ottobre 2015 quest'ultimo ha infatti telefonato all'istituto bancario comunicando l'intenzione di estinguere la relazione, di vendere tutti i titoli e convertire la liquidità in Euro, trasferendo i fondi a un'altra banca svizzera. Il mese successivo, il 30 novembre 2015, il ricorrente si è recato personalmente in banca, dopo che telefonicamente gli era stata comunicata l'impossibilità di trasferire i fondi in favore di una fiduciaria cipriota. Al consulente quest'ultimo ha quindi spiegato di dover trovare una soluzione per poter estinguere la relazione e trasferire liberamente i fondi, poiché a causa di una procedura di accertamento in corso riguardante la sua società italiana, non aveva modo di aderire alla Volountary disclosure. Illustrategli dal consulente le possibilità a sua disposizione egli ha quindi comunicato l'intenzione di aprire un conto in Croazia dove eseguire il bonifico (cfr. atto n. 18.2 pag. 6 inc. AFC). Alla luce di quanto esposto, vi è quindi fondato motivo di presumere che il ricorrente abbia avuto conoscenza della lettera del 20 febbraio 2015, al più tardi in occasione della visita in banca nel mese di novembre 2015, momento in cui si è peraltro lamentato del comportamento del gestore esterno che non lo aveva informato adeguatamente e che da fine 2014 aveva rinunciato alla procura amministrativa "comunicandogli che si sarebbe dovuto occupare personalmente della relazione" bancaria con B._______/C._______ (cfr. atto n. 18.2 pag. 6 inc. AFC).</w:t>
      </w:r>
    </w:p>
    <w:p>
      <w:r>
        <w:rPr>
          <w:b/>
        </w:rPr>
        <w:t>E. 5.3</w:t>
      </w:r>
    </w:p>
    <w:p>
      <w:r>
        <w:t>Come dichiarato sopra il Tribunale federale ha già avuto modo di considerare lo scritto del 20 febbraio 2015 come idoneo a fondare il modello di comportamento alla base della domanda raggruppata (cfr. considd. 4.2.1.2-4.2.1.3 del presente giudizio). L'Alta Corte ha inoltre ritenuto corretta la trattazione della domanda raggruppata da parte dell'AFC. Ciò significa che, contrariamente a quanto lamentato dal ricorrente, la procedura messa in atto per istruire il caso - tramite assunzione delle informazioni fiscalmente rilevanti presso la banca, unica depositaria dei dati richiesti dall'autorità fiscale italiana - è conforme alle disposizioni degli art. 8 e 10 LAAF.</w:t>
      </w:r>
    </w:p>
    <w:p>
      <w:r>
        <w:rPr>
          <w:b/>
        </w:rPr>
        <w:t>E. 5.4</w:t>
      </w:r>
    </w:p>
    <w:p>
      <w:r>
        <w:t>Orbene, secondo quanto giustamente indicato dall'autorità inferiore (cfr. decisione impugnata, consid. 8), il ricorrente non ha reagito a detta lettera comprovando la sua conformità fiscale, sicché egli rientra nel modello di comportamento descritto nella domanda raggruppata. La concessione dell'assistenza amministrativa - è bene rammentarlo - non dipende infatti dalla questione se il ricorrente abbia soggettivamente voluto o meno regolarizzare i propri averi detenuti in Svizzera, né tantomeno dalla situazione patrimoniale del conto di cui era titolare durante il periodo oggetto della domanda, bensì unicamente dalla questione s'egli abbia oggettivamente fornito alla banca la prova di detta regolarizzazione nel termine impartito. Tale prova non è stata fornita dal ricorrente. Neppure in sede di procedura amministrativa e ricorsuale l'insorgente ha dimostrato di aver agito in tal senso dichiarando il conto in parola alle autorità fiscali italiane. In definitiva, si deve dunque concludere che egli rientra nel modello di comportamento in oggetto e che la trasmissione delle informazioni è ammissibile.</w:t>
      </w:r>
    </w:p>
    <w:p>
      <w:r>
        <w:rPr>
          <w:b/>
        </w:rPr>
        <w:t>E. 5.5</w:t>
      </w:r>
    </w:p>
    <w:p>
      <w:r>
        <w:t>In tale contesto, nulla muterebbe al riguardo, l'accoglimento della richiesta formulata in via preliminare in sede di osservazioni spontanee del 2 agosto 2022, di ammettere agli atti copia dell'estratto conto dal 23 febbraio 2015 al 31 dicembre 2015 firmato e datato su carta intestata di B._______/C._______, nonché della documentazione bancaria riguardante le modalità di selezione che hanno condotto la banca a includere il ricorrente nella categoria dei « clienti recalcitranti ». Per quanto concerne l'estratto conto, trattandosi di un documento direttamente accessibile al ricorrente, parte alla relazione bancaria e quindi legittimato a disporre dei dati relativi al conto, è da quest'ultimo che occorre se del caso attendersi la produzione quale prova. Solo in caso di un impedimento comprovato entra in linea di conto una domanda di edizione da parte della banca, circostanza che non è stata fatta valere. Per quanto concerne le modalità di selezione, come rettamente indicato dall'AFC, queste sono desumibili dallo scritto del 20 febbraio 2015 e dall'atto 18.2. Come già detto il modello di comportamento viene identificato unicamente dal fatto di non aver fornito alla banca prove della conformità fiscale del proprio conto. Ora, il ricorrente non ha minimamente sostanziato il motivo per cui tali prove dovrebbero essere rilevanti o del perché non è in grado di fornire autonomamente la prima di esse. D'altro canto, da un apprezzamento anticipato delle prove neppure codesto Tribunale ritiene che le stesse potrebbero condurlo a modificare in alcun modo la propria opinione. Non vi è dunque motivo per procedere all'auspicata edizione documentale o per estendere ulteriormente l'istruttoria di causa (cfr. circa l'apprezzamento anticipato delle prove, [tra le tante] sentenze del TAF A-6526/2020 del 5 luglio 2022 consid. 2.3 con rinvii; A-1730/2021 del 7 marzo 2022 consid. 3.1.2 con rinvii).</w:t>
      </w:r>
    </w:p>
    <w:p>
      <w:r>
        <w:rPr>
          <w:b/>
        </w:rPr>
        <w:t>E. 6</w:t>
      </w:r>
    </w:p>
    <w:p>
      <w:r>
        <w:t>Nel proprio gravame, il ricorrente lamenta infine una violazione delle garanzie procedurali, sotto forma di violazione del diritto di essere sentito, non avendogli l'AFC concesso una proroga fino al 30 aprile 2020 per prendere posizione in relazione agli atti acquisiti prima dell'emanazione della decisione finale. Le draconiane misure imposte dalle autorità svizzere e italiane per contrastare la pandemia non hanno infatti permesso al patrocinatore di incontrare e conferire con il proprio cliente nell'esiguo termine concesso dall'AFC (cfr. ricorso del 16 maggio 2022, pp. 14-15).</w:t>
      </w:r>
    </w:p>
    <w:p>
      <w:r>
        <w:rPr>
          <w:b/>
        </w:rPr>
        <w:t>E. 6.1.1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w:t>
      </w:r>
    </w:p>
    <w:p>
      <w:r>
        <w:rPr>
          <w:b/>
        </w:rPr>
        <w:t>E. 6.1.2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e 132 V 368 consid. 3.1 pag. 370 e sentenze ivi citate). 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DTF 111 Ia 273 consid. 2b), a condizione però che la violazione non sia di particolare gravità (DTF 126 I 68 consid. 2 pag. 72).</w:t>
      </w:r>
    </w:p>
    <w:p>
      <w:r>
        <w:rPr>
          <w:b/>
        </w:rPr>
        <w:t>E. 6.1.3</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6.2</w:t>
      </w:r>
    </w:p>
    <w:p>
      <w:r>
        <w:t>Al riguardo il Tribunale rileva che già in sede di istruttoria dinnanzi all'AFC il ricorrente fosse patrocinato da un legale. Quest'ultimo si era annunciato all'amministrazione come rappresentate di A._______ con scritto del 7 febbraio 2020 - dunque ben prima della limitazione dell'accesso in Svizzera previsto dall'Ordinanza 2 Covid-19 a partire dal 13 marzo 2020 (RS 818.101.24) e della chiusura delle frontiere con la Svizzera decretata dall'Italia a partire dal 26 marzo 2020 e perdurata fino al 15 giugno 2020 - dichiarando di non acconsentire alla trasmissione delle informazioni. Con scritto del 27 febbraio 2020 (notificato al ricorrente il giorno successivo), l'autorità inferiore ha accordato l'accesso agli atti (trasmettendo la chiavetta USB) e dato la possibilità di prendere posizione entro 10 giorni in merito alla prevista trasmissione delle informazioni. Il 5 marzo 2020, pertanto prima della chiusura delle frontiere e pure della dichiarazione dello stato di necessità da parte del Consiglio di Stato del Canton Ticino dell'11 marzo 2020, l'AFC ha trasmesso per e-mail al rappresentante dell'insorgente la password per poter accedere agli atti dell'incarto ed è stata parzialmente accolta la sua domanda di proroga del 4 marzo 2020, concedendogli un termine supplementare di 10 giorni per prendere posizione a seguito dell'accesso agli atti. Con email del 19 marzo 2020 l'AFC ha parzialmente accolto la domanda del 17 marzo 2020 del ricorrente (con la quale chiedeva una proroga fino al 30 aprile 2020), concedendogli un ulteriore termine di 10 giorni con la precisazione che un ulteriore proroga non sarebbe stata concessa. Con email del 24 marzo 2020 l'AFC ha ribadito il rifiuto di derogare il termine fino al 30 aprile 2020, confermando il termine precedentemente impartito. Nel termine assegnato il ricorrente ha quindi preso posizione per esteso motivando e ribadendo sostanzialmente la propria opposizione alla trasmissione degli atti all'autorità italiana richiedente. A seguito dell'emanazione della decisione impugnata il ricorrente ha sviluppato le medesime motivazioni e addotto le medesime conclusioni dinnanzi a questo tribunale, con il ricorso del 16 maggio 2022. L'insorgente, a cui è stata trasmessa il 20 luglio 2022 la risposta dell'AFC, ha inoltre sottoposto delle osservazioni spontanee il 2 agosto 2022.</w:t>
      </w:r>
    </w:p>
    <w:p>
      <w:r>
        <w:rPr>
          <w:b/>
        </w:rPr>
        <w:t>E. 6.3</w:t>
      </w:r>
    </w:p>
    <w:p>
      <w:r>
        <w:t>Da quanto precede risulta dunque che il ricorrente è stato correttamente reso edotto sulle informazioni che l'autorità inferiore intende sottoporre all'autorità richiedente, sia in maniera generale con la pubblicazione nel Foglio federale del 10 dicembre 2019, sia puntualmente e personalmente con la comunicazione del 27 febbraio 2020 e infine con la decisione a lui destinata. A seguito della comunicazione del 27 febbraio 2020, unitamente alla quale gli è stata trasmessa la chiavetta USB e fissato un termine di dieci giorni per prendere posizione, il ricorrente è stato posto in condizione di esprimersi in maniera completa e con cognizione di causa sulla fattispecie. Al riguardo va rilevato che il fatto, addotto dal ricorrente, di aver potuto consultare gli atti contenuti nella chiavetta USB unicamente a partire dal 5 marzo 2020, a ben vedere, non è imputabile all'amministrazione, bensì presumibilmente ad una disattenzione del patrocinatore del ricorrente. Nello scritto in parola, ricevuto venerdì 28 febbraio 2020, l'AFC ha infatti invitato il ricorrente (come è sua prassi fare in tutti i numerosi casi analoghi al presente) a confermare « la ricezione della chiave USB all'indirizzo e-mail sei@estv.admin.ch indicando il nostro riferimento 631.1-2018-IT-0002-0105-000987_Q2T. In seguito, le invieremo via email la password necessaria per accedere ai documenti ». A tale invito il rappresentante del ricorrente ha dato seguito unicamente con scritto del 4 marzo 2020 in cui ha chiesto la proroga del termine e la trasmissione della password. A tale richiesta l'amministrazione ha dato seguito il giorno successivo. A partire dal 5 marzo, dunque prima dell'introduzione delle severe misure volte a contrastare la pandemia da Covid-19, il ricorrente era in misura di prendere posizione in modo completo ed esaustivo, avendo a disposizione l'intero incarto dell'AFC.</w:t>
      </w:r>
    </w:p>
    <w:p>
      <w:r>
        <w:rPr>
          <w:b/>
        </w:rPr>
        <w:t>E. 6.3.1</w:t>
      </w:r>
    </w:p>
    <w:p>
      <w:r>
        <w:t>Questo Tribunale rileva infine che le contestazioni legate all'impossibilità di conferire con il proprio legale possono essere seguite in questa sede. In più occasioni infatti e non da ultimo nell'ambito della procedura dinnanzi a questa Corte l'insorgente disponeva della facoltà di conferire liberamente e personalmente con il proprio legale, indipendentemente dalla chiusura delle frontiere durante il periodo di pandemia da Covid-19 (momento in cui restavano comunque possibili le videoconferenze o le comunicazioni telefoniche). Tant'è che nei termini impartiti (protratti per ben due volte dall'AFC) e prima dell'emanazione della decisione impugnata il ricorrente ha espresso in maniera compiuta i motivi per i quali si opponeva alla trasmissione dei dati che lo riguardavano. Ad ogni modo, sin dall'avvio della procedura amministrativa dinnanzi all'AFC, nel tardo 2019, al ricorrente era noto quali documenti avrebbe dovuto produrre a comprova del rispetto dei propri obblighi fiscali nei confronti dell'autorità fiscale italiana, onde evitare la trasmissione a quest'ultima di informazioni sul conto a lui intestato presso B._______. Non da ultimo, come rettamente osservato dall'amministrazione, è opportuno rammentare che tra il 2020 e il 2021 il Consiglio federale non ha emanato alcuna disposizione o misura avente per oggetto la procedura di assistenza amministrativa in materia fiscale, il cui svolgimento è pertanto rimasto invariato durante tutto il periodo pandemico (si cfr. a contrario l'art. 1 dell'Ordinanza federale del 20 marzo 2020 sulla sospensione dei termini nei procedimenti civili e amministrativi ai fini del mantenimento della giustizia in relazione al coronavirus del 20 marzo 2020 [Covid-19; RS 173.110.4]). A seguito dell'emanazione della decisione impugnata il ricorrente ha inoltre avuto modo di esprimersi compiutamente dinnanzi a questo Tribunale, dapprima con il ricorso del 16 maggio 2022, in seguito con le osservazioni spontanee del 2 agosto 2022. Un' eventuale violazione del diritto di essere sentito, comunque non ravvisabile nel caso concreto, andrebbe quindi considerata sanata nell'ambito della presente procedura.</w:t>
      </w:r>
    </w:p>
    <w:p>
      <w:r>
        <w:rPr>
          <w:b/>
        </w:rPr>
        <w:t>E. 6.4</w:t>
      </w:r>
    </w:p>
    <w:p>
      <w:r>
        <w:t>In tali circostanze la mancata concessione di una proroga fino al 30 aprile 2020 per prendere posizione prima dell'emanazione della decisione da parte dell'AFC - provvedimento giustificato dall'imperativo di celerità imposto dalla procedura di assistenza amministrativa in materia fiscale (art. 4 cpv. 2 LAAF; si cfr. anche le sentenze del TF 2C_804/2019 del 21 aprile 2020 consid. 3.3; 2C_815/2019 del 18 maggio 2020 consid. 3.1) - non configura una violazione dei diritti procedurali del ricorrente. In definitiva, la censura di violazione del diritto di essere sentito è del tutto ingiustificata e pertanto infondata.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