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A-2235/2017 vom 11. Juli 2017</w:t>
      </w:r>
    </w:p>
    <w:p>
      <w:r>
        <w:t>Bundesverwaltungsgericht, 2017-07-11, DE</w:t>
      </w:r>
    </w:p>
    <w:p>
      <w:r>
        <w:rPr>
          <w:b/>
        </w:rPr>
        <w:t xml:space="preserve">Quelle: </w:t>
      </w:r>
      <w:r>
        <w:t>https://mcp.opencaselaw.ch/entscheid/bvger_A-2235_2017</w:t>
      </w:r>
    </w:p>
    <w:p>
      <w:r>
        <w:t>FR: TAF A-2235/2017 du 11 juillet 2017</w:t>
      </w:r>
    </w:p>
    <w:p>
      <w:r>
        <w:t>IT: TAF A-2235/2017 del 11 luglio 2017</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sie von einer Vorinstanz nach Art. 33 VGG stammen und keine Ausnahme nach Art. 32 VGG vorliegt. Das Vorliegen einer Verfügung ist Sachurteilsvoraussetzung für ein Beschwerdeverfahren.</w:t>
      </w:r>
    </w:p>
    <w:p>
      <w:r>
        <w:rPr>
          <w:b/>
        </w:rPr>
        <w:t>E. 1.2</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(vgl. Urteil des BVGer A-7309/2010 vom 7. April 2011 E. 4.1;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 des BVGer A-3433/2013 vom 29. Oktober 2014 E. 2.6.3; Felix Uhlmann, in: Waldmann/Weissenberger [Hrsg.], Praxiskommentar Verwaltungsverfahrensgesetz, 2. Aufl. 2016, Art. 5 Rz. 17 ff. und 94).</w:t>
      </w:r>
    </w:p>
    <w:p>
      <w:r>
        <w:rPr>
          <w:b/>
        </w:rPr>
        <w:t>E. 1.3</w:t>
      </w:r>
    </w:p>
    <w:p>
      <w:r>
        <w:t>Ob vorliegend eine Verfügung angefochten ist und damit ein zulässiges Anfechtungsobjekt gegeben ist, hängt davon ab, wie die E-Mail der Vorinstanz zu qualifizieren ist. Die Beantwortung dieser Frage hängt wiederum von der Bedeutung von Art. 34 Abs. 3 BPG ab.</w:t>
      </w:r>
    </w:p>
    <w:p>
      <w:r>
        <w:rPr>
          <w:b/>
        </w:rPr>
        <w:t>E. 2.1</w:t>
      </w:r>
    </w:p>
    <w:p>
      <w:r>
        <w:t>Gemäss dem am 1. Juli 2013 in Kraft getretenen Art. 34 Abs. 3 BPG haben abgewiesene Stellenbewerberinnen und -bewerber keinen Anspruch auf den Erlass einer anfechtbaren Verfügung. Die Bestimmung gelangte mit der Teilrevision des BPG vom 14. Dezember 2012 (AS 2013 1502) ins Gesetz. Aus den Materialien wird deutlich, dass der Gesetzgeber mit der Bestimmung die Folgen des Urteils des Bundesverwaltungsgerichts A-2757/2009 vom 12. Oktober 2010 (teilweise publiziert in BVGE 2010/53) rückgängig machen wollte, mit dem dieses erkannt hatte, erfolglose Stellenbewerberinnen und -bewerber müssten die Möglichkeit haben, die Beachtung der rechtsstaatlichen Garantien durch die Anstellungsbehörden gerichtlich durchzusetzen, und hätten daher einen Anspruch auf den Erlass einer anfechtbaren Nichtanstellungsverfügung. Die Bestimmung bezweckt demnach, den Rechtsschutz gegen Nichtanstellungsentscheide auszuschliessen und dadurch die Wahlfreiheit der Anstellungsbehörden zu gewährleisten (vgl. Urteile des BVGer A-7443/2015 vom 18. Juli 2016 E. 2.1 m.w.H. und A-1715/2016 vom 14. Juni 2016 S. 3; Moser/Beusch/Kneubühler, Prozessieren vor dem Bundesverwaltungsgericht, 2. Aufl. 2013, Rz. 2.81).</w:t>
      </w:r>
    </w:p>
    <w:p>
      <w:r>
        <w:rPr>
          <w:b/>
        </w:rPr>
        <w:t>E. 2.2</w:t>
      </w:r>
    </w:p>
    <w:p>
      <w:r>
        <w:t>Aus Art. 34 Abs. 3 BPG folgt somit nicht nur, dass kein Anspruch auf den Erlass einer anfechtbaren Nichtanstellungsverfügung besteht; vielmehr geht daraus auch hervor, dass Nichtanstellungsentscheide ungeachtet ihrer Rechtsnatur bundespersonalrechtlich nicht als anfechtbare Verfügungen zu betrachten sind (vgl. Urteile des BVGer A-7443/2015 vom 18. Juli 2016 und A-1715/2016 vom 14. Juni 2016 S. 4 oben). Sie müssen entsprechend auch nicht den für Verfügungen geltenden Formerfordernissen genügen. Daraus ergibt sich, dass der Beschwerdeführer weder Anspruch auf den Erlass einer anfechtbaren Verfügung hat, noch dass die E-Mail vom 3. März 2017 der Vorinstanz, welches die kumulativ erforderlichen Strukturmerkmale einer Verfügung nach Art. 5 VwVG nicht aufweist, als anfechtbare Verfügung zu qualifizieren ist. Es fehlt dem vorliegenden Beschwerdeverfahren somit an einem tauglichen Anfechtungsobjekt. Auf die Beschwerde ist deshalb nicht einzutreten.</w:t>
      </w:r>
    </w:p>
    <w:p>
      <w:r>
        <w:rPr>
          <w:b/>
        </w:rPr>
        <w:t>E. 3.1</w:t>
      </w:r>
    </w:p>
    <w:p>
      <w:r>
        <w:t>Das Beschwerdeverfahren ist in personalrechtlichen Angelegenheiten unabhängig vom Verfahrensausgang grundsätzlich kostenlos (Art. 34 Abs. 2 BPG). Es sind daher keine Verfahrenskosten zu erheben.</w:t>
      </w:r>
    </w:p>
    <w:p>
      <w:r>
        <w:rPr>
          <w:b/>
        </w:rPr>
        <w:t>E. 3.2</w:t>
      </w:r>
    </w:p>
    <w:p>
      <w:r>
        <w:t>Da auf die Beschwerde nicht einzutreten ist, gilt die Vorinstanz als obsiegend. Sie hat als Bundesbehörde jedoch keinen Anspruch auf eine Parteientschädigung (vgl. Art. 7 Abs. 3 des Reglements über die Kosten und Entschädigungen vor dem Bundesverwaltungsgerichts vom 21. Februar 2008 [VGKE, SR 173.320.2]). Dem unterliegenden Beschwerdeführer steht ebenfalls keine solche 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