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A-2221/2013 vom 13. August 2013</w:t>
      </w:r>
    </w:p>
    <w:p>
      <w:r>
        <w:t>Bundesverwaltungsgericht, 2013-08-13, DE</w:t>
      </w:r>
    </w:p>
    <w:p>
      <w:r>
        <w:rPr>
          <w:b/>
        </w:rPr>
        <w:t xml:space="preserve">Quelle: </w:t>
      </w:r>
      <w:r>
        <w:t>https://mcp.opencaselaw.ch/entscheid/bvger_A-2221_2013</w:t>
      </w:r>
    </w:p>
    <w:p>
      <w:r>
        <w:t>FR: TAF A-2221/2013 du 13 août 2013</w:t>
      </w:r>
    </w:p>
    <w:p>
      <w:r>
        <w:t>IT: TAF A-2221/2013 del 13 agosto 2013</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Nichtrekrutierung zur Beschwerde legitimiert.</w:t>
      </w:r>
    </w:p>
    <w:p>
      <w:r>
        <w:rPr>
          <w:b/>
        </w:rPr>
        <w:t>E. 1.4</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w:t>
      </w:r>
    </w:p>
    <w:p>
      <w:r>
        <w:t>Zunächst stellt sich vorliegend die Frage, ob die Risikoerklärung, infolge derer die Nichtrekrutierung verfügt wurde, in formelle Rechtskraft erwachsen ist und deren Inhalt somit nicht mehr in Frage gestellt werden kann.</w:t>
      </w:r>
    </w:p>
    <w:p>
      <w:r>
        <w:rPr>
          <w:b/>
        </w:rPr>
        <w:t>E. 3.1</w:t>
      </w:r>
    </w:p>
    <w:p>
      <w:r>
        <w:t>Ein Entscheid erwächst in formelle Rechtskraft, wenn kein ordentliches Rechtsmittel ergriffen werden kann. Formelle Rechtskraft bedeutet verfahrensmässige Unanfechtbarkeit, Endgültigkeit sowie Unabänderlichkeit in diesem Verfahren und tritt unter anderem auch dann ein, wenn die Rechtsmittelfrist unbenützt abgelaufen ist (Urteil des Bundesverwaltungsgerichts A 5361/2012 vom 22. April 2013 E. 3.1; René Rhinow/Heinrich Koller/Christina Kiss/Daniela Thurnherr/Denise Brühl-Moser, Öffentliches Prozessrecht, 2. Aufl., Basel 2010, Rz. 951).</w:t>
      </w:r>
    </w:p>
    <w:p>
      <w:r>
        <w:rPr>
          <w:b/>
        </w:rPr>
        <w:t>E. 3.2</w:t>
      </w:r>
    </w:p>
    <w:p>
      <w:r>
        <w:t>Bei erstinstanzlichen Verfügungen spricht man dagegen nur von formeller Rechtsbeständigkeit, da sie möglicherweise in einem erneuten Verfahren wieder überprüft werden können. Dient ein Verwaltungsentscheid jedoch als Grundlage für einen weiteren Entscheid, hat die Behörde, welche über die zweite Massnahme zu entscheiden hat, vom Ergebnis des früheren Verfahrens auszugehen und es ihrem Entscheid zugrundezulegen. Die Rechtsbeständigkeit einer Verfügung erstreckt sich dabei nur auf das, was Gegenstand des Gesuchs war und von der zuständigen Behörde entschieden wurde (Urteil des Bundesverwaltungsgerichts A 5361/2012 vom 22. April 2013 E. 3.2; Rhinow/Koller/Kiss/Thurn-herr/Brühl-Moser, a.a.O., Rz. 953 f. mit weiteren Verweisen).</w:t>
      </w:r>
    </w:p>
    <w:p>
      <w:r>
        <w:rPr>
          <w:b/>
        </w:rPr>
        <w:t>E. 3.3</w:t>
      </w:r>
    </w:p>
    <w:p>
      <w:r>
        <w:t>Vorliegend hat der Beschwerdeführer die am 28. August 2012 verfügte Risikoerklärung der Fachstelle nicht angefochten. Zwar ist diese nur formell rechtsbeständig. Da sie jedoch die Grundlage für die Nichtrekrutierung bildet, hat die Vorinstanz als Behörde, welche über die Nichtrekrutierung zu entscheiden hat, vom Ergebnis der Risikoverfügung auszugehen und es ihrem Entscheid zugrundezulegen. In der Risikoerklärung vom 28. August 2012 beurteilte die Fachstelle die begangenen Verstösse des Beschwerdeführers gegen das Gesetz als Hinderungsgrund für die Überlassung der persönlichen Waffe gemäss Art. 113 Abs. 1 Bst. d MG und empfahl, dem Beschwerdeführer keine persönliche Waffe zu überlassen. Dieses Ergebnis hat die Vorinstanz nun ihrem Entscheid bezüglich Rekrutierung/Nichtrekrutierung zugrundezulegen (Urteil des Bundesverwaltungsgerichts A 5361/2012 vom 22. April 2013 E. 3.3).</w:t>
      </w:r>
    </w:p>
    <w:p>
      <w:r>
        <w:rPr>
          <w:b/>
        </w:rPr>
        <w:t>E. 4</w:t>
      </w:r>
    </w:p>
    <w:p>
      <w:r>
        <w:t>Vorliegend kann demnach nur geprüft werden, ob die Vorinstanz aufgrund der unangefochten gebliebenen Risikoerklärung vom 28. August 2012 zu Recht eine Nichtrekrutierung verfügt hat.</w:t>
      </w:r>
    </w:p>
    <w:p>
      <w:r>
        <w:rPr>
          <w:b/>
        </w:rPr>
        <w:t>E. 4.1</w:t>
      </w:r>
    </w:p>
    <w:p>
      <w:r>
        <w:t>Gemäss Art. 66 der Verordnung über die Militärdienstpflicht vom 19. November 2003 (MDV, SR 512.21) können Angehörige der Armee, deren persönliche Verhältnisse ungeordnet sind, nur mit Zustimmung des FST A einen Grundausbildungsdienst leisten, eine neue Funktion übernehmen oder befördert werden (Art. 66 Abs. 1 MDV). Es können zudem eine Umteilung, ein Aufgebotsstopp und vorsorgliche Massnahmen verfügt werden (Art. 66 Abs. 2 MDV). Ungeordnete persönliche Verhältnisse sind ausdrücklich auch dann gegeben, wenn Hinderungsgründe für die Überlassung der persönlichen Waffe bestehen (Art. 66 Abs. 3 Bst. dbis MDV). Vorliegend wurde der Beschwerdeführer mit Entscheid des VBS vom 28. August 2012 mit sofortiger Wirkung vorzeitig aus der Rekrutierung entlassen und mit einem militärischen Aufgebotsstopp belegt. In der erwähnten Verfügung betreffend vorzeitige Entlassung und Aufgebotsstopp heisst es weiter, wenn innerhalb einer Frist von 30 Tagen keine Beschwerde ("Einsprache") gegen die Risikoerklärung der Fachstelle geführt werde, erwäge der FST A, den Beschwerdeführer nicht zu rekrutieren und in der Folge auch nicht der Armee zuzuteilen. Diese Schlussfolgerung ergibt sich aus Art. 13 Abs. 1 der Verordnung über die Rekrutierung vom 10. April 2002 (VREK, SR 511.11), gemäss welcher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Sodann wird gemäss Art. 14 Abs. 1 VREK der Armee nur zugeteilt, wer militärdiensttauglich ist (vgl. zum ganzen Abschnitt: Urteile des Bundesverwaltungsgerichts A 5361/2012 vom 22. April 2013 E. 4.1, A 4163/2012 vom 16. Januar 2013 E. 6.2 und A 5391/2011 vom 5. April 2012 E. 5.2).</w:t>
      </w:r>
    </w:p>
    <w:p>
      <w:r>
        <w:rPr>
          <w:b/>
        </w:rPr>
        <w:t>E. 4.2</w:t>
      </w:r>
    </w:p>
    <w:p>
      <w:r>
        <w:t>Obschon Art. 21 Abs. 4 Satz 2 des Bundesgesetzes über Massnahmen zur Wahrung der inneren Sicherheit vom 21. März 1997 (BWIS, SR 120) und Art. 23 Abs. 1 der Verordnung über die Personensicherheitsprüfungen vom 4. März 2011 (PSPV, SR 120.4) bestimmen, dass die Vorinstanz als entscheidende Behörde nicht an die Einschätzung der Fachstelle gebunden ist, lässt Art. 13 Abs. 1 i.V.m. Art. 14 Abs. 1 VREK keine Rekrutierung mehr zu, wenn für die Vorinstanz selbst kein Anlass besteht, am Vorhandensein eines Hinderungsgrundes gemäss Art. 113 MG zu zweifeln: Die Risikoerklärung der Fachstelle stellt fest, dass ein Hinderungsgrund für die Überlassung der persönlichen Waffe besteht, aufgrund dessen eine Militärdiensttauglichkeit ausgeschlossen werden muss. Hegt die Vorinstanz keinen weiteren Zweifel, ist als Folge auch keine Zuteilung zur Armee möglich (grundlegend Urteil des Bundesverwaltungsgerichts A 5361/2012 vom 22. April 2013 E. 4.2, vgl. auch E. 4.4).</w:t>
      </w:r>
    </w:p>
    <w:p>
      <w:r>
        <w:rPr>
          <w:b/>
        </w:rPr>
        <w:t>E. 4.3</w:t>
      </w:r>
    </w:p>
    <w:p>
      <w:r>
        <w:t>Ist also eine Risikoerklärung unangefochten geblieben, lässt Art. 13 Abs. 1 i.V.m. Art. 14 Abs. 1 VREK den Verwaltungsbehörden bei der Anordnung von Rechtsfolgen keinen Handlungsspielraum: Ohne Anlass am Vorhandensein eines Hinderungsgrundes gemäss Art. 113 MG zu zweifeln, kommt lediglich eine Nichtrekrutierung in Frage. Die Prüfung der Verhältnismässigkeit des Entscheids als selbstverständlicher Begleiter der Ermessensbetätigung hat demnach zu unterbleiben (Urteil des Bundesverwaltungsgerichts A 5361/2012 vom 22. April 2013 E. 4.3; vgl. dazu Pierre Tschannen/Ulrich Zimmerli/Markus Müller, Allgemeines Verwaltungsrecht, 3. Aufl., Bern 2009, § 26 Rz. 11; Ulrich Häfelin/Georg Müller/Felix Uhlmann, Allgemeines Verwaltungsrecht, 6. Aufl., Zürich/St. Gallen 2010, Rz. 441).</w:t>
      </w:r>
    </w:p>
    <w:p>
      <w:r>
        <w:rPr>
          <w:b/>
        </w:rPr>
        <w:t>E. 5</w:t>
      </w:r>
    </w:p>
    <w:p>
      <w:r>
        <w:t>Gestützt auf die vorstehenden Erwägungen ergibt sich, dass die von der Vorinstanz verfügte Nichtrekrutierung zu Recht erfolgte. Die Beschwerde ist daher abzuweisen.</w:t>
      </w:r>
    </w:p>
    <w:p>
      <w:r>
        <w:rPr>
          <w:b/>
        </w:rPr>
        <w:t>E. 6.1</w:t>
      </w:r>
    </w:p>
    <w:p>
      <w:r>
        <w:t>Bei diesem Ausgang des Verfahrens gilt der Beschwerdeführer als unterliegend. Er hat die Verfahrenskosten zu tragen, welche auf Fr. 500.-- festzusetzen sind (Art. 1 ff. des Reglements über die Kosten und Entschädigungen vor dem Bundesverwaltungsgericht vom 21. Februar 2008 [VGKE, SR 173.320.2]). Diese werden mit dem geleisteten Kostenvorschuss in derselben Höhe verrechnet.</w:t>
      </w:r>
    </w:p>
    <w:p>
      <w:r>
        <w:rPr>
          <w:b/>
        </w:rPr>
        <w:t>E. 6.2</w:t>
      </w:r>
    </w:p>
    <w:p>
      <w:r>
        <w:t>Angesichts seines Unterliegens steht dem nicht anwaltlich vertretenen Beschwerdeführer von vornherein keine Parteientschädigung zu (Art. 64 Abs. 1 VwVG i.V.m. Art. 7 Abs. 1 VGKE e contrario). Auch der Vorinstanz wird keine Parteientschädigung zugesprochen (Art. 64 Abs. 1 VwVG i.V.m. Art. 7 Abs. 3 VGKE).</w:t>
      </w:r>
    </w:p>
    <w:p>
      <w:r>
        <w:rPr>
          <w:b/>
        </w:rPr>
        <w:t>E. 7</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