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A-2160/2012 vom 1. April 2014</w:t>
      </w:r>
    </w:p>
    <w:p>
      <w:r>
        <w:t>Bundesverwaltungsgericht, 2014-04-01, DE</w:t>
      </w:r>
    </w:p>
    <w:p>
      <w:r>
        <w:rPr>
          <w:b/>
        </w:rPr>
        <w:t xml:space="preserve">Quelle: </w:t>
      </w:r>
      <w:r>
        <w:t>https://mcp.opencaselaw.ch/entscheid/bvger_A-2160_2012</w:t>
      </w:r>
    </w:p>
    <w:p>
      <w:r>
        <w:t>FR: TAF A-2160/2012 du 1 avril 2014</w:t>
      </w:r>
    </w:p>
    <w:p>
      <w:r>
        <w:t>IT: TAF A-2160/2012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des Enteigneten vom 23. April 2012 ist damit einzutreten.</w:t>
      </w:r>
    </w:p>
    <w:p>
      <w:r>
        <w:rPr>
          <w:b/>
        </w:rPr>
        <w:t>E. 2</w:t>
      </w:r>
    </w:p>
    <w:p>
      <w:r>
        <w:t>Vertieft zu prüfen wäre die Zulässigkeit der Anschlussbeschwerde des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25).</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der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eine Gebäudeerstellung nach dem 1. Januar 1961 eine Entschädigungskürzung zur Folge haben kann (Berücksichtigung des späten Erwerbszeitpunkts, E. 22). Abschliessend wird auf die Verzinsung der Entschädigung eingegangen (E. 23).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wurde das Land vor 1961 durch Kauf erworben (vgl. für Einzelheiten unten E. 20). Das Gebäude ist jedoch erst später erstellt worden. Diesbezüglich kann der Enteignete eine Entschädigung demnach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Der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Der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Der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der Enteignete Eigentümer einer mit einem Mehrfamilienhaus überbauten Parzelle. Diese weist eine Fläche von (...) m2 auf, wovon sich ca. 78m2 innerhalb des festgelegten Überflugkorridors befinden. Da also ein "Teilüberflug" gegeben ist, hat der Enteignete Anspruch auf eine Entschädigung, die den Minderwert der gesamten Liegenschaft deckt. Die Kürzung der Komponente "lärmverursachter Minderwert" erfolgte zu Unrecht. Demnach ist unerheblich, ob der Enteignete den Teil der Entschädigung, der auf das Land entfällt, auch unter dem Titel "Unterdrückung nachbarlicher Abwehrrechte" geltend machen könnte. Es erübrigt sich daher, auf die Vorbringen der Enteigner einzugehen, wonach die Voraussetzung der Schwere des Schadens nicht erfüllt sei. Ebenso kann die vom Enteigneten aufgeworfene Frage nach der Breite des Überflugkorridors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Der Enteignete hat im vorinstanzlichen Verfahren verlangt, bei der Minderwertberechnung sei auf die Belastungswerte gemäss vBR abzustellen, eventuell auf die Belastungswerte des Jahres 2007.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der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Der Enteignete führt in seiner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seines Standpunkts bringt der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Der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der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der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des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Der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der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vom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vom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Der Enteignete macht in seiner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O), macht der Enteignete in seiner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N).</w:t>
      </w:r>
    </w:p>
    <w:p>
      <w:r>
        <w:rPr>
          <w:b/>
        </w:rPr>
        <w:t>E. 14.3</w:t>
      </w:r>
    </w:p>
    <w:p>
      <w:r>
        <w:t>Die Enteigner halten den Ausführungen des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vom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des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der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des Enteigneten einzugehen: Dieser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Basiszinssatz, Mietzinsrisiko,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Berücksichtigung der "lärmunempfindlichen Räume" und Parkplätze einzugehen (E. 15.2). Beim Nettokapitalisierungssatz ist der gewählte Basiszinssatz zu überprüfen (E. 15.3). Im Rahmen der Zuschläge zum Nettokapitalisierungssatz für die Bewirtschaftungskosten wird die Berücksichtigung des Mietzinsrisikos beanstandet (E. 15.4). Weiter ist auf die technische Entwertung einzugehen (E. 15.5).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hat diese Frage im vorliegenden Fall bejaht, da sich die mit dem Modell ESchK berechneten Minderwert-Prozentsätze auf den Verkehrswert des gesamten Objektes beziehen würden. Dies wird von keiner der Parteien beanstandet. 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bis 14.8). Es stellt sich damit neu die Frage, ob die Minderwert-Prozentsätze gemäss diesem Raster auf einem Verkehrswert zur Anwendung zu bringen sind, in welchem die "lärmunempfindlichen Räume" und Parkplätze berücksichtigt sind (vgl. zum Ganzen das heutige Urteil im Verfahren A-2155/2012 E. 13.2).</w:t>
      </w:r>
    </w:p>
    <w:p>
      <w:r>
        <w:rPr>
          <w:b/>
        </w:rPr>
        <w:t>E. 15.3</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15.3.1</w:t>
      </w:r>
    </w:p>
    <w:p>
      <w:r>
        <w:t>Der Enteignete hält dem in seiner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der Enteignete in seiner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15.3.2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des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15.3.3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15.3.4</w:t>
      </w:r>
    </w:p>
    <w:p>
      <w:r>
        <w:t>Es ist somit nicht zu beanstanden, dass die Vorinstanz einen Basiszinssatz von 4.25% gewählt hat.</w:t>
      </w:r>
    </w:p>
    <w:p>
      <w:r>
        <w:rPr>
          <w:b/>
        </w:rPr>
        <w:t>E. 15.4</w:t>
      </w:r>
    </w:p>
    <w:p>
      <w:r>
        <w:t>Bei den Bewirtschaftungskosten ist unter anderem das "Mietzinsrisiko" zu berücksichtigen (Ertragsminderung durch uneinbringliche Mieten und Leerstände; vgl. Schätzerhandbuch, S. 66; vgl. auch Canonica, a.a.O., S. 100). Die Vorinstanz hat den entsprechenden Zuschlag auf 0.12% festgesetzt. Sie führt diesbezüglich aus, es lägen keine Anhaltspunkte für nachhaltige Mietzinsausfälle in unüblichem Mass am Stichtag vor. Der Ausbaustandard entspreche bei diesem Mehrfamilienhaus demjenigen von Eigentumswohnungen, die Mietzinse bewegten sich aber im unteren Rahmen von gehobenen Mietwohnungen.</w:t>
      </w:r>
    </w:p>
    <w:p>
      <w:r>
        <w:rPr>
          <w:b/>
        </w:rPr>
        <w:t>E. 15.4.1</w:t>
      </w:r>
    </w:p>
    <w:p>
      <w:r>
        <w:t>Die Enteigner sind demgegenüber der Ansicht, die Mieten seien vergleichsweise hoch, was die Vermietung erschwere. Weder würden die Mietwohnungen den Standard von Eigentumswohnungen aufweisen noch bewegten sich die Mietzinse "im unteren Rahmen von gehobenen Mietwohnungen". Weiter lägen durchaus Anhaltspunkte für nachhaltige Mietzinsausfälle vor: Gemäss Mieterspiegel 2001 weise die Liegenschaft einen Leerwohnungsbestand auf, der rund Fr. 19'000.- pro Jahr ausmache (inkl. Leerstände bei Bastelräumen und Garagen). Gemäss dem Mieterspiegel 2010 belaufe sich dieser Betrag auf Fr. 28'000.-. Auch die Liegenschaft (Adresse 6), die gleichzeitig und in gleicher Weise erstellt worden sei, weise ebenfalls ganz erhebliche Leerstände auf. Deshalb sei der Zuschlag für das Mietzinsrisiko auf 0.48% anstatt auf 0.12% festzulegen.</w:t>
      </w:r>
    </w:p>
    <w:p>
      <w:r>
        <w:rPr>
          <w:b/>
        </w:rPr>
        <w:t>E. 15.4.2</w:t>
      </w:r>
    </w:p>
    <w:p>
      <w:r>
        <w:t>In der Literatur wird empfohlen, den Zuschlag für das Risiko von Mietzinsausfällen in einer Bandbreite von 0.0 bis 0.4% (Schätzerhandbuch, S. 66) bzw. 0.0 bis 0.5% (Canonica, a.a.O., S. 100) festzusetzen. Die Vorinstanz hat innerhalb dieser Bandbreite einen eher tiefen Wert gewählt.</w:t>
      </w:r>
    </w:p>
    <w:p>
      <w:r>
        <w:rPr>
          <w:b/>
        </w:rPr>
        <w:t>E. 15.4.3</w:t>
      </w:r>
    </w:p>
    <w:p>
      <w:r>
        <w:t>Gerade bei der Festlegung der Zuschläge zum Nettokapitalisierungssatz kommt dem Schätzer ein gewisses Ermessen zu (vgl. zu dieser Thematik Wipfli, a.a.O., S. 82 ff. [insb. S 85, 88]). Es besteht vorliegend kein Anlass, in dieses Ermessen einzugreifen: Zwar weist der Mieterspiegel 2001 bei tatsächlich erzielten Mietzinseinnahmen von Fr. 244'818.- Mietzinsausfälle aufgrund von Leerständen in der Höhe von Fr. 17'894.- aus (Nettomieten inkl. Parkplätze und Bastelräume). In den Jahren 1998 bis 2000 beliefen sich die Mietzinsausfälle gemäss den im Beschwerdeverfahren eingereichten Mieterspiegeln aber jeweils auf ca. Fr. 5'000.-. Damit durfte die Vorinstanz davon ausgehen, bis zum Stichtag hätten insgesamt noch keine unüblichen Mietzinsausfälle vorgelegen. Entsprechendes gilt auch für die Liegenschaft (Adresse 6) (vgl. das heutige Urteil im Verfahren A 2163/2012 [E. 15.4]). Auf die Leerstände im Jahr 2002 und den folgenden Jahren ist nicht abzustellen, da als Bewertungsstichtag der 30. Oktober 2001 festgesetzt wurde (vgl. dazu aber immerhin unten E. 16). Anzumerken ist dennoch, dass sich für das Jahr 2010 kein Leerwohnungsstand von Fr. 28'000.- aus den Akten ergibt. Weiter ist aus der Fotodokumentation zum Schätzungsprotokoll durchaus ersichtlich, dass die Wohnungen einen gehobenen Standard aufweisen. Die Enteigner vermögen unter diesen Umständen nicht darzutun, weshalb die 2001 verlangten Mieten als hoch eingestuft werden müssten. Es ist deshalb nicht davon auszugehen, dass allein schon aufgrund der verlangten Mieten ein erhöhtes Risiko von Leerständen bestand.</w:t>
      </w:r>
    </w:p>
    <w:p>
      <w:r>
        <w:rPr>
          <w:b/>
        </w:rPr>
        <w:t>E. 15.4.4</w:t>
      </w:r>
    </w:p>
    <w:p>
      <w:r>
        <w:t>Der Zuschlag für das Mietzinsrisiko ist damit bei 0.12% zu belassen.</w:t>
      </w:r>
    </w:p>
    <w:p>
      <w:r>
        <w:rPr>
          <w:b/>
        </w:rPr>
        <w:t>E. 15.5</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Im vorliegenden Fall ging die Vorinstanz von einem jährlichen Rückstellungsbetrag von Fr. 17'863.- über 6 Jahre aus, die Aufzinsung erfolgte anhand des Basiszinssatzes von 4.25%. Dies ergibt einen Rückstellungssaldo von Fr. 119'231.-. Das Gebäude hat zwar Baujahr 1994, wurde also ungefähr sieben Jahre vor dem Bewertungsstichtag fertiggestellt. Doch führt die Vorinstanz aus, die Liegenschaft sei gut unterhalten. Es lasse sich nach der Schätzer­praxis vertreten, bei Liegenschaften mit hervorragendem Unterhalt "den Beginn für die Rückstellungen im Rahmen der Ertragswertberechnung um fünf bis sieben Jahre ab Erstellungszeitpunkt aufzuschieben", zumal zwischen Alter und Wert einer Baute nur ein sehr loser Zusammenhang bestehe. In Anbetracht des guten Unterhalts des Mehrfamilienhauses im vorliegenden Fall sei es sachgerecht, nur für sechs Jahre vor dem Stichtag aufgelaufene Rückstellungen für Erneuerungskosten abzuziehen.</w:t>
      </w:r>
    </w:p>
    <w:p>
      <w:r>
        <w:rPr>
          <w:b/>
        </w:rPr>
        <w:t>E. 15.5.1</w:t>
      </w:r>
    </w:p>
    <w:p>
      <w:r>
        <w:t>Die Enteigner machen geltend, korrekterweise müssten sieben anstatt nur sechs Jahre an aufgelaufenen Rückstellungen in Abzug gebracht werden. Die angeblich bisher gute Erhaltung der Liegenschaft stelle keinen Grund dar, nicht die ganze Periode seit der letzen Renovation bzw. vorliegend dem Neubau zu berücksichtigen. Dabei weisen die Enteigner auf den Umstand hin, dass die Vorinstanz bei der Festlegung des jährlichen Rückstellungsbetrags von einem Instandsetzungszyklus von 30 Jahren und von 30 konstanten jährlichen Rückstellungen ausgegangen ist. Daher, so die Enteigner sinngemäss, müsse nun auch der gesamte Zeitraum ab Erstellung des Gebäudes in die Berechnung des Rückstellungssaldos einbezogen werden.</w:t>
      </w:r>
    </w:p>
    <w:p>
      <w:r>
        <w:rPr>
          <w:b/>
        </w:rPr>
        <w:t>E. 15.5.2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wie vorliegend, um eine neuere oder vor kurzem gesamthaft erneuerte Baute, deren Erneuerungsbauteile gleichmässig gealtert haben, kann zwar vereinfachend "die Anzahl Jahre seit dem letzten entwertungsfreien Zustand" herangezogen werden. Gemeint ist aber auch damit das technische und nicht das tatsächliche Alter (vgl. Canonica, a.a.O., S. 275). Entsprechend muss es möglich sein, ein tatsächliches Alter von 7 Jahren aufgrund der konkreten Umstände um wenigstens ein Jahr zu "kürzen" und von einem technischen Alter von 6 Jahren auszugehen. Inwiefern die Vorinstanz zu Unrecht von einer gut erhaltenen Liegenschaft ausgegangen sein soll, legen die Enteigner nicht dar. Der von den Enteignern erwähnte Instandsetzungszyklus wurde von der Vorinstanz hingegen abstrakt bestimmt. Es liegt damit nur scheinbar ein Widerspruch vor.</w:t>
      </w:r>
    </w:p>
    <w:p>
      <w:r>
        <w:rPr>
          <w:b/>
        </w:rPr>
        <w:t>E. 15.5.3</w:t>
      </w:r>
    </w:p>
    <w:p>
      <w:r>
        <w:t>Die technische Entwertung wurde von der Vorinstanz somit korrekt berücksichtigt.</w:t>
      </w:r>
    </w:p>
    <w:p>
      <w:r>
        <w:rPr>
          <w:b/>
        </w:rPr>
        <w:t>E. 15.6</w:t>
      </w:r>
    </w:p>
    <w:p>
      <w:r>
        <w:t>Zusammenfassend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w:t>
      </w:r>
    </w:p>
    <w:p>
      <w:r>
        <w:rPr>
          <w:b/>
        </w:rPr>
        <w:t>E. 17</w:t>
      </w:r>
    </w:p>
    <w:p>
      <w:r>
        <w:t>Demnach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der Enteignete die Liegenschaft gemäss den Ausführungen der Vorinstanz im Rahmen einer Realteilung unter Geschwistern erworben und in der Folge darauf das Mehrfamilienhaus erstellen lassen. Das Bauland habe sich vor der Realteilung aus zwei Teilen zusammengesetzt, nämlich einer 1992 erfolgten Schenkung seitens der Mutter des Enteigneten sowie einem Zukauf. Was die Schenkung betreffe, sei diese als Erbvorbezug zu qualifizieren. Die Mutter ihrerseits habe das Land von ihrem Rechtsvorgänger durch Erbgang erworben. Dieser wiederum sei bereits vor 1961 Eigentümer des Landes gewesen (welches 1978 und 1991 in Quartierpläne einbezogen worden sei). Im Jahr 1993 hätten der Enteignete und seine drei Geschwister dieses als Erbvorbezug empfangene Land zusammen mit der benachbarten, zugekauften Parzelle relativ gleichmässig untereinander aufgeteilt (wobei zusätzlich ein untergeordneter Landabtausch mit einer weiteren Parzelle stattgefunden habe). Die Liegenschaft des Enteigneten bilde nun in vollem Umfang einen Ausschnitt aus dem Erbvorbezugsgrundstück. Gemäss der Vorinstanz gilt gestützt auf diesen Sachverhalt das gesamte Land als vor 1961 durch Kauf erworben. Soweit die Entschädigung den auf den Landwert entfallenden Teil des Schadens abgilt, stellt sich die Frage nach einem Abzug somit nicht. Weiter ist zu beachten, dass das Gebäude vollständig ausserhalb des Überflugkorridors liegt. Die Vorinstanz hat die Entschädigung daher um den "Gebäudeanteil" des lärmbedingten Minderwerts gekürzt (vgl. dazu oben E. 9 [Ingress]). Entsprechend hatten die Enteigner keinen Anlass, in ihrer Beschwerde zu fordern, es sei die vorbestehende Lärmbelastung zu berücksichtigen. Doch halten sie auch vorliegend in grundsätzlicher Hinsicht fest, bei einem Erwerbs- bzw. Erstellungsdatum nach 1961 sei dem vorbestehenden Lärm angemessen Rechnung zu tragen (vgl. Beschwerde vom 20. April 2012 Rz. 29). Wie sich im Beschwerdeverfahren ergeben hat, ist dem Enteigneten grundsätzlich auch der auf das Gebäude entfallende Teil des Schadens zu ersetzen (vgl. oben E. 9 und 10). Damit stellt sich nun auch im vorliegenden Fall die Frage, ob ein Abzug wegen reduzierten Renditeerwartungen bei der Erstellung des Gebäudes vorzunehmen ist.</w:t>
      </w:r>
    </w:p>
    <w:p>
      <w:r>
        <w:rPr>
          <w:b/>
        </w:rPr>
        <w:t>E. 20.1</w:t>
      </w:r>
    </w:p>
    <w:p>
      <w:r>
        <w:t>Der Vollständigkeit halber ist festzuhalten, dass bei der Beurteilung dieser Frage auf den Zeitpunkt des Abschlusses des Werkvertrags bzw. des Baubeginns abzustellen ist. Unter "Erstellungszeitpunkt" ist im vorliegenden Zusammenhang also dieser Zeitpunkt zu verstehen (vgl. das heutige Urteil im Verfahren A-2163/2012 E. 20.1).</w:t>
      </w:r>
    </w:p>
    <w:p>
      <w:r>
        <w:rPr>
          <w:b/>
        </w:rPr>
        <w:t>E. 20.2</w:t>
      </w:r>
    </w:p>
    <w:p>
      <w:r>
        <w:t>Damit ist zu prüfen, ob die Grundbelastung zum oben umschriebenen Erstellungszeitpunkt 60 dB erreichte. Gegebenenfalls ist ein Abzug in der Höhe von 5% des Gebäudewerts vorzunehmen. Im Fall einer deutlichen Überschreitung der Schwelle von 60 dB ist der Abzug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Der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Der Enteignete stellt sich auf den Standpunkt, die Zuschläge könnten nicht allein auf Basis des Landwerts - erst noch desjenigen mit Fluglärm - berechnet werden. Zwar kann dem Enteigneten nach dem zuvor Gesagten (oben E. 21.3.1)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der Enteignete vor, der Zuschlag sei nicht nur auf dem Landwert, sondern auch auf dem Gebäudewert zu gewähren. Er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jeweils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jeweils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Verzinsung der Enteignungsentschädigung</w:t>
      </w:r>
    </w:p>
    <w:p>
      <w:r>
        <w:rPr>
          <w:b/>
        </w:rPr>
        <w:t>E. 23</w:t>
      </w:r>
    </w:p>
    <w:p>
      <w:r>
        <w:t>Die festgesetzte Enteignungsentschädigung ist gemäss dem angefochtenen Entscheid ab dem 1. Januar 2007 zu verzinsen. Die Vorinstanz führt hierzu aus, bei fluglärmbetroffenen Renditeliegenschaften habe das Bundesgericht einen Aufschub der Verzinsung um 5 Jahre grundsätzlich geschützt. Vorbehalten worden sei der Nachweis einer konkreten Nutzungseinbusse. Der Enteignete vermöge nicht mehr zu dokumentieren, als dass sich ein schleichender Ertragsrückgang eingestellt habe. Dies genüge nicht, um auf den Aufschub der Verzinsung um 5 Jahre zu verzichten.</w:t>
      </w:r>
    </w:p>
    <w:p>
      <w:r>
        <w:rPr>
          <w:b/>
        </w:rPr>
        <w:t>E. 23.1</w:t>
      </w:r>
    </w:p>
    <w:p>
      <w:r>
        <w:t>Der Enteignete beantragt, es sei eine Verzinsung ab dem 1. Januar 2005 anzuordnen. Er habe nachgewiesen, dass seine Erträge bereits im Jahr 2005 um mehr als 10% tiefer gelegen hätten als noch im Jahr 2001. Im gleichen Zeitraum sei das allgemeine Mietzinsniveau um etwa 3% gestiegen. Von einem bloss schleichenden Ertragsrückgang könne daher keine Rede sein.</w:t>
      </w:r>
    </w:p>
    <w:p>
      <w:r>
        <w:rPr>
          <w:b/>
        </w:rPr>
        <w:t>E. 23.2</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dazu BGE 121 II 350 E. 5e mit Hinweisen). In den Opfiker Pilotfällen hat das Bundesgericht meistens festgehalten, die Entstehung des Entschädigungsanspruchs falle praktisch mit dem auf den 1. Januar 1997 festgelegten Schätzungsstichtag zusammen und die Entschädigung sei ab diesem Zeitpunkt zu verzinsen (vgl. z.B. BGE 134 II 49 E. 21). Es führte jedoch auch aus, nach der Lebenserfahrung werde sich bei Mietobjekten, die Wohnzwecken dienen,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Eine schleichende Entwertung werde sich über kurz oder lang aber darin zeigen, dass für die lärmbelasteten Wohnungen nicht mehr dieselben Mietzinse erzielt werden können wie für vergleichbare Objekte an ruhiger Lage.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 (vgl. BGE 134 II 160 E. 13 und E. 14.2). Entsprechend hat die Vorinstanz die Verzinsung mangels Nachweis einer konkreten Ertragseinbusse jeweils um 5 Jahre aufgeschoben, was vom Bundesverwaltungsgericht (vgl. Urteil A-2684/2010 vom 19. Januar 2011 E. 25) und vom Bundesgericht (vgl. Urteil 1C_100/2011 vom 9. Dezember 2011 E. 13.5) geschützt wurde.</w:t>
      </w:r>
    </w:p>
    <w:p>
      <w:r>
        <w:rPr>
          <w:b/>
        </w:rPr>
        <w:t>E. 23.3</w:t>
      </w:r>
    </w:p>
    <w:p>
      <w:r>
        <w:t>Auch in den vorliegenden Fällen fällt die Besitzergreifung bzw. die Entstehung des Anspruchs praktisch mit dem Schätzungsstichtag vom 1. Januar 2002 zusammen. Grundsätzlich ist damit nichts dagegen einzuwenden, dass bei Ertragsliegenschaften ein Zins erst ab dem 1. Januar 2007 zugesprochen wird. Zu prüfen bleibt, ob der Enteignete bereits für einen früheren Zeitpunkt eine konkrete Ertragseinbusse nachweisen kann.</w:t>
      </w:r>
    </w:p>
    <w:p>
      <w:r>
        <w:rPr>
          <w:b/>
        </w:rPr>
        <w:t>E. 23.4</w:t>
      </w:r>
    </w:p>
    <w:p>
      <w:r>
        <w:t>Die vom Enteigneten im vorinstanzlichen Verfahren eingereichten Mieterspiegel (vgl. act. 22 der Vorakten [...]) weisen für das Jahr 2001 Netto-Sollmieten (inkl. Parkplätze und Bastelräume) von Fr. 262'712.- aus. Bis zum Jahr 2005 hat sich dieser Betrag gemäss den Mieterspiegeln bis auf Fr. 235'521.- und damit um 10.4% reduziert. Dies, nachdem es in den Jahren 2002 bis 2004 bei den Wohnungsmietern zu deutlich mehr Wechseln gekommen ist als üblich. Auf den ersten Blick deuten die vom Enteigneten vorgelegten Zahlen demnach auf eine konkrete Ertragseinbusse bereits per 2005 hin. Aus den im Beschwerdeverfahren eingereichten Mieterspiegeln 1998 bis 2000 geht indes hervor, dass die Netto-Sollmieten in diesen Jahren lediglich bei Fr. 251'118.- (1998), Fr. 245'309.- (1999) und Fr. 251'640.- (2000) lagen. Gegenüber dem Jahr 2000 ergibt sich damit eine Reduktion von nur 6.4%. Weiter ist zu beachten, dass der mietrechtlich relevante kantonale Hypothekarzinssatz im Jahr 1999 auf einen vorübergehenden Tiefststand von 3.75% gesunken ist, sich bis Ende 2000 wieder auf 4.5% erhöht hat und dann bis Ende 2004 auf 3.25% gesunken ist (vgl. www.mietrecht.ch Hypo-Referenzzins Tabellen Hypothekarzins in den Kantonen seit 1983 Zürich; besucht am 11. März 2013). Die Entwicklung der Mietzinse lässt sich zwar kaum allein mit dieser Zinssatzentwicklung erklären, doch kann nicht ausgeschlossen werden, dass sie zu wesentlichen Teilen darauf zurückzuführen ist. Jedenfalls ist die Tragweite des Mietzinsrückgangs vor dem Hintergrund der Hypothekarzinsentwicklung zu relativieren. Damit ist ein Aufschub der Verzinsung bis zum 1. Januar 2007 auch im vorliegenden Fall nicht zu beanstanden. Ausgang des Beschwerdeverfahrens</w:t>
      </w:r>
    </w:p>
    <w:p>
      <w:r>
        <w:rPr>
          <w:b/>
        </w:rPr>
        <w:t>E. 24.1</w:t>
      </w:r>
    </w:p>
    <w:p>
      <w:r>
        <w:t>Der Enteignete dringt mit seinen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Es ist jedoch ein Abzug wegen reduzierten Renditeerwartungen bei der Erstellung des Gebäudes zu prüfen (E. 18 bis 20). Beide Parteien beanstanden zudem zu Recht die Bestimmung des Zuschlags für nicht lärmbezogene Aspekte (E. 21). Im Übrigen dringen sie mit ihren Beschwerden nicht durch.</w:t>
      </w:r>
    </w:p>
    <w:p>
      <w:r>
        <w:rPr>
          <w:b/>
        </w:rPr>
        <w:t>E. 24.2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sind gewisse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Auch ist die Grundbelastung zum Erstellungszeitpunkt abzuklären.</w:t>
      </w:r>
    </w:p>
    <w:p>
      <w:r>
        <w:rPr>
          <w:b/>
        </w:rPr>
        <w:t>E. 24.3</w:t>
      </w:r>
    </w:p>
    <w:p>
      <w:r>
        <w:t>Damit sind die Beschwerden der Enteigner und des Enteigneten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25</w:t>
      </w:r>
    </w:p>
    <w:p>
      <w:r>
        <w:t>Da der angefochtene Entscheid teilweise aufzuheben und das vorinstanzliche Verfahren wieder aufzunehmen ist, erübrigt es sich, über das Begehren der Enteigner um Reduktion der vorinstanzlichen Parteientschädigung bzw. über das Begehren des Enteigneten um Erhöhung dieser Entschädigung zu befinden (vgl. Urteile des Bundesgerichts 1E.11/2007 vom 14. April 2008 E. 13 und 1E.8/2007 vom 28. April 2008 E. 17). Der angefochtene Entscheid ist vielmehr auch insoweit aufzuheben, als dem Enteigneten eine Parteientschädigung zugesprochen wurde (Ziff. 6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des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26</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27</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7'000.- sind den Enteignern nach Eintritt der Rechtskraft des vorliegenden Urteils Fr. 2'000.- zurückzuerstatten.</w:t>
      </w:r>
    </w:p>
    <w:p>
      <w:r>
        <w:rPr>
          <w:b/>
        </w:rPr>
        <w:t>E. 28</w:t>
      </w:r>
    </w:p>
    <w:p>
      <w:r>
        <w:t>Die Parteientschädigung umfasst die Kosten der Vertretung sowie allfällige weitere Auslagen der Partei (Art. 8 Abs. 1 VGKE).</w:t>
      </w:r>
    </w:p>
    <w:p>
      <w:r>
        <w:rPr>
          <w:b/>
        </w:rPr>
        <w:t>E. 28.1</w:t>
      </w:r>
    </w:p>
    <w:p>
      <w:r>
        <w:t>Der Enteignete hat dem Bundesverwaltungsgericht am 3. Septem­ber 2013 die detaillierte Kostennote seiner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28.2</w:t>
      </w:r>
    </w:p>
    <w:p>
      <w:r>
        <w:t>Zunächst ist der geltend gemachte Stundenaufwand zu beurteilen.</w:t>
      </w:r>
    </w:p>
    <w:p>
      <w:r>
        <w:rPr>
          <w:b/>
        </w:rPr>
        <w:t>E. 28.2.1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28.2.2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28.3</w:t>
      </w:r>
    </w:p>
    <w:p>
      <w:r>
        <w:t>Es ist weiter auf die geltend gemachten Stundenansätze einzugehen.</w:t>
      </w:r>
    </w:p>
    <w:p>
      <w:r>
        <w:rPr>
          <w:b/>
        </w:rPr>
        <w:t>E. 28.3.1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28.3.2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28.4</w:t>
      </w:r>
    </w:p>
    <w:p>
      <w:r>
        <w:t>Zu entschädigen sind im vorliegenden Verfahren 48.86 Stunden zu Fr. 300.- und 3.02 Stunden zu Fr 180.-, insgesamt also Fr. 15'201.60.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15'201.60 (Honorar) + Fr. 200.- (Auslagen) + Fr. 1'232.15 (Mehrwertsteuer 8.0%) = Fr. 16'633.75. Die Flughafen Zürich AG ist zu verpflichten, dem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