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A-2152/2012 vom 1. April 2014</w:t>
      </w:r>
    </w:p>
    <w:p>
      <w:r>
        <w:t>Bundesverwaltungsgericht, 2014-04-01, DE</w:t>
      </w:r>
    </w:p>
    <w:p>
      <w:r>
        <w:rPr>
          <w:b/>
        </w:rPr>
        <w:t xml:space="preserve">Quelle: </w:t>
      </w:r>
      <w:r>
        <w:t>https://mcp.opencaselaw.ch/entscheid/bvger_A-2152_2012</w:t>
      </w:r>
    </w:p>
    <w:p>
      <w:r>
        <w:t>FR: TAF A-2152/2012 du 1 avril 2014</w:t>
      </w:r>
    </w:p>
    <w:p>
      <w:r>
        <w:t>IT: TAF A-2152/2012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der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des Enteigneten vom 23. April 2012 ist damit einzutreten.</w:t>
      </w:r>
    </w:p>
    <w:p>
      <w:r>
        <w:rPr>
          <w:b/>
        </w:rPr>
        <w:t>E. 2</w:t>
      </w:r>
    </w:p>
    <w:p>
      <w:r>
        <w:t>Vertieft zu prüfen wäre die Zulässigkeit der Anschlussbeschwerde des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25).</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der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(Übersicht Modell "MIFLU I", E. 11; Schätzungsstichtag und massgebliche Lärmwerte, E. 12 und 13; Modell ESchK, E. 14; Verkehrswertbestimmung, E. 15 bis 17; Vorbestehende Lärmbelastung, E. 18 bis 20) sowie auf die Bestimmung des Zuschlags für nicht lärmbezogene Aspekte eingegangen (E. 21). Schliesslich wird geprüft, ob ein Grundstückserwerb nach dem 1. Januar 1961 eine Entschädigungskürzung zur Folge haben kann (Berücksichtigung des späten Erwerbszeitpunkts, E. 22). Abschliessend wird auf die Verzinsung der Entschädigung eingegangen (E. 23).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wurde das Land erst nach 1961 durch Kauf erworben (vgl. für Einzelheiten unten E. 20). Sowohl hinsichtlich des Landes als auch hinsichtlich des noch später erstellten Gebäudes kann der Enteignete eine Entschädigung demnach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14).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9.1</w:t>
      </w:r>
    </w:p>
    <w:p>
      <w:r>
        <w:t>Der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Der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Der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ist der Enteignete Eigentümer einer mit einem Mehrfamilienhaus überbauten Parzelle. Diese weist eine Fläche von (...) m2 auf, wovon sich ca. 946m2 innerhalb des festgelegten Überflugkorridors befinden. Da also ein "Teilüberflug" gegeben ist, hat der Enteignete Anspruch auf eine Entschädigung, die den Minderwert der gesamten Liegenschaft deckt. Die vom Enteigneten aufgeworfene Frage nach der Breite des Überflugkorridors kann demnach offen gelassen werden. Bestimmung der Komponente "lärmverursachter Minderwert" MIFLU I (Übersicht)</w:t>
      </w:r>
    </w:p>
    <w:p>
      <w:r>
        <w:rPr>
          <w:b/>
        </w:rPr>
        <w:t>E. 11</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11.1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 2161/2012 E. 11.1; vgl. auch BGE 134 II 49 E. 18.5.2).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13</w:t>
      </w:r>
    </w:p>
    <w:p>
      <w:r>
        <w:t>Der Enteignete hat im vorinstanzlichen Verfahren verlangt, bei der Minderwertberechnung sei auf die Belastungswerte gemäss vBR abzustellen, eventuell auf die Belastungswerte des Jahres 2007. Die Vorinstanz hält im angefochtenen Entscheid fest, der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der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Der Enteignete führt in seiner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seines Standpunkts bringt der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Der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der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der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Der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13.4</w:t>
      </w:r>
    </w:p>
    <w:p>
      <w:r>
        <w:t>Es bleibt auf die Vorbringen des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Der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der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vom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vom Enteigneten angerufene zukünftige Entwicklung ist jedoch nicht zu berücksichtigen, da diese nicht mit hinreichender Sicherheit in nächster Zukunft eintreten wird. Modell ESchK</w:t>
      </w:r>
    </w:p>
    <w:p>
      <w:r>
        <w:rPr>
          <w:b/>
        </w:rPr>
        <w:t>E. 14</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14.4.2 und 14.8.1).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14.1</w:t>
      </w:r>
    </w:p>
    <w:p>
      <w:r>
        <w:t>Der Enteignete macht in seiner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N), macht der Enteignete in seiner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14.2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M).</w:t>
      </w:r>
    </w:p>
    <w:p>
      <w:r>
        <w:rPr>
          <w:b/>
        </w:rPr>
        <w:t>E. 14.3</w:t>
      </w:r>
    </w:p>
    <w:p>
      <w:r>
        <w:t>Die Enteigner halten den Ausführungen des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 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vom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des Enteigneten bestritten, wonach die Minderwerte gemäss Modell ESchK um 45% tiefer lägen.</w:t>
      </w:r>
    </w:p>
    <w:p>
      <w:r>
        <w:rPr>
          <w:b/>
        </w:rPr>
        <w:t>E. 14.4</w:t>
      </w:r>
    </w:p>
    <w:p>
      <w:r>
        <w:t>Zunächst ist auf die Entwicklung des Modells ESchK und die zu diesem Modell bereits vorhandene Rechtsprechung einzugehen.</w:t>
      </w:r>
    </w:p>
    <w:p>
      <w:r>
        <w:rPr>
          <w:b/>
        </w:rPr>
        <w:t>E. 14.4.1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14.4.2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14.4.3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14.4.4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14.4.5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14.5</w:t>
      </w:r>
    </w:p>
    <w:p>
      <w:r>
        <w:t>Es ist demnach näher auf die Fluglärmbelastung in Kloten und die beim Modell ESchK resultierenden Minderwerte einzugehen.</w:t>
      </w:r>
    </w:p>
    <w:p>
      <w:r>
        <w:rPr>
          <w:b/>
        </w:rPr>
        <w:t>E. 14.5.1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13.3). Es seien an dieser Stelle beispielhaft nochmals die Lärmwerte der Liegenschaft (Adresse 2) aufgeführt (vgl. wiederum die Tabelle "Lärmwerte 2002 / 2007 / 2011 ausgewählter Liegenschaften in Kloten" vom 14. Januar 2013 [act. 27/14 im Verfahren A 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13.3.6 bis 13.3.8).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14.5.2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 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19.1).</w:t>
      </w:r>
    </w:p>
    <w:p>
      <w:r>
        <w:rPr>
          <w:b/>
        </w:rPr>
        <w:t>E. 14.5.3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der Enteignete die mit MIFLU II ermittelten Minderwerte nicht entgegen halten lassen, auch nicht zur Plausibilisierung der Minderwerte gemäss Modell ESchK.</w:t>
      </w:r>
    </w:p>
    <w:p>
      <w:r>
        <w:rPr>
          <w:b/>
        </w:rPr>
        <w:t>E. 14.5.4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14.6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14.7</w:t>
      </w:r>
    </w:p>
    <w:p>
      <w:r>
        <w:t>Es ist somit zu prüfen, wie die lärmbedingten Minderwerte von Ertragsliegenschaften in den vorliegenden Fällen zu ermitteln sind.</w:t>
      </w:r>
    </w:p>
    <w:p>
      <w:r>
        <w:rPr>
          <w:b/>
        </w:rPr>
        <w:t>E. 14.7.1</w:t>
      </w:r>
    </w:p>
    <w:p>
      <w:r>
        <w:t>Als erstes ist auf den Lösungsvorschlag des Enteigneten einzugehen: Dieser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14.7.2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14.5.3).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14.7.3</w:t>
      </w:r>
    </w:p>
    <w:p>
      <w:r>
        <w:t>Die Bestimmung der lärmbedingten Minderwerte von Ertragsliegenschaften in Kloten hat demnach anhand eines einfachen Rasters zu erfolgen.</w:t>
      </w:r>
    </w:p>
    <w:p>
      <w:r>
        <w:rPr>
          <w:b/>
        </w:rPr>
        <w:t>E. 14.8</w:t>
      </w:r>
    </w:p>
    <w:p>
      <w:r>
        <w:t>Es bleibt näher auf die Festlegung des erwähnten Rasters einzugehen. Wie aufzuzeigen ist, kann dabei auf bereits vorhandene Erkenntnisse und Annahmen abgestellt werden.</w:t>
      </w:r>
    </w:p>
    <w:p>
      <w:r>
        <w:rPr>
          <w:b/>
        </w:rPr>
        <w:t>E. 14.8.1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 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 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14.8.2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14.8.3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11.2).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11.2).</w:t>
      </w:r>
    </w:p>
    <w:p>
      <w:r>
        <w:rPr>
          <w:b/>
        </w:rPr>
        <w:t>E. 14.8.4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14.8.5</w:t>
      </w:r>
    </w:p>
    <w:p>
      <w:r>
        <w:t>Das Raster kann damit noch nicht definitiv festgelegt werden, da hierzu die Minderwerte heranzuziehen sind, die bei MIFLU I für Einfamilienhäuser in Kloten resultieren.</w:t>
      </w:r>
    </w:p>
    <w:p>
      <w:r>
        <w:rPr>
          <w:b/>
        </w:rPr>
        <w:t>E. 14.9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Basiszinssatz, Mietzinsrisiko, technische Entwertung)</w:t>
      </w:r>
    </w:p>
    <w:p>
      <w:r>
        <w:rPr>
          <w:b/>
        </w:rPr>
        <w:t>E. 15</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15.1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Berücksichtigung der "lärmunempfindlichen Räume" und Parkplätze einzugehen (E. 15.2). Beim Nettokapitalisierungssatz ist der gewählte Basiszinssatz zu überprüfen (E. 15.3). Im Rahmen der Zuschläge zum Nettokapitalisierungssatz für die Bewirtschaftungskosten wird die Berücksichtigung des Mietzinsrisikos beanstandet (E. 15.4). Weiter ist auf die technische Entwertung einzugehen (E. 15.5). Im Übrigen stellt sich die Frage, ob die Vorinstanz einen Verkehrswert "mit Fluglärm" oder einen solchen "ohne Fluglärm" ermittelt hat (E. 16).</w:t>
      </w:r>
    </w:p>
    <w:p>
      <w:r>
        <w:rPr>
          <w:b/>
        </w:rPr>
        <w:t>E. 15.2</w:t>
      </w:r>
    </w:p>
    <w:p>
      <w:r>
        <w:t>Bei der Ermittlung des Bruttojahresertrags hatte die Vorinstanz zu beurteilen, ob auch der Ertrag aus der Vermietung der "lärmunempfindlichen Räume" und Parkplätze zu berücksichtigen ist. Sie hat diese Frage im vorliegenden Fall bejaht, da sich die mit dem Modell ESchK berechneten Minderwert-Prozentsätze auf den Verkehrswert des gesamten Objektes beziehen würden. Dies wird von keiner der Parteien beanstandet. 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14.6 bis 14.8). Es stellt sich damit neu die Frage, ob die Minderwert-Prozentsätze gemäss diesem Raster auf einem Verkehrswert zur Anwendung zu bringen sind, in welchem die "lärmunempfindlichen Räume" und Parkplätze berücksichtigt sind (vgl. zum Ganzen das heutige Urteil im Verfahren A-2155/2012 E. 13.2).</w:t>
      </w:r>
    </w:p>
    <w:p>
      <w:r>
        <w:rPr>
          <w:b/>
        </w:rPr>
        <w:t>E. 15.3</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15.3.1</w:t>
      </w:r>
    </w:p>
    <w:p>
      <w:r>
        <w:t>Der Enteignete hält dem in seiner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der Enteignete in seiner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15.3.2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des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15.3.3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13.2.2),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15.3.4</w:t>
      </w:r>
    </w:p>
    <w:p>
      <w:r>
        <w:t>Es ist somit nicht zu beanstanden, dass die Vorinstanz einen Basiszinssatz von 4.25% gewählt hat.</w:t>
      </w:r>
    </w:p>
    <w:p>
      <w:r>
        <w:rPr>
          <w:b/>
        </w:rPr>
        <w:t>E. 15.4</w:t>
      </w:r>
    </w:p>
    <w:p>
      <w:r>
        <w:t>Bei den Bewirtschaftungskosten ist unter anderem das "Mietzinsrisiko" zu berücksichtigen (Ertragsminderung durch uneinbringliche Mieten und Leerstände; vgl. Schätzerhandbuch, S. 66; vgl. auch Canonica, a.a.O., S. 100). Die Vorinstanz hat den entsprechenden Zuschlag auf 0.12% festgesetzt. Sie führt diesbezüglich aus, es lägen keine Anhaltspunkte für nachhaltige Mietzinsausfälle in unüblichem Mass am Stichtag vor. Der Ausbaustandard entspreche bei diesem Mehrfamilienhaus demjenigen von Eigentumswohnungen, die Mietzinse bewegten sich aber im unteren Rahmen von gehobenen Mietwohnungen.</w:t>
      </w:r>
    </w:p>
    <w:p>
      <w:r>
        <w:rPr>
          <w:b/>
        </w:rPr>
        <w:t>E. 15.4.1</w:t>
      </w:r>
    </w:p>
    <w:p>
      <w:r>
        <w:t>Die Enteigner sind demgegenüber der Ansicht, die Mieten seien vergleichsweise hoch, was die Vermietung erschwere. Weder würden die Mietwohnungen den Standard von Eigentumswohnungen aufweisen noch bewegten sich die Mietzinse "im unteren Rahmen von gehobenen Mietwohnungen". Weiter lägen durchaus Anhaltspunkte für nachhaltige Mietzinsausfälle vor: Neben dem vorhandenen Leerstand sei auch das bestehende Leerstandsrisiko relevant. Die Liegenschaften (Adresse 5) und (Adresse 6), die gleichzeitig und in gleicher Weise erstellt worden seien, würden ganz erhebliche Leerstände aufweisen. Deshalb sei der Zuschlag für das Mietzinsrisiko auf 0.64% anstatt auf 0.12% festzulegen.</w:t>
      </w:r>
    </w:p>
    <w:p>
      <w:r>
        <w:rPr>
          <w:b/>
        </w:rPr>
        <w:t>E. 15.4.2</w:t>
      </w:r>
    </w:p>
    <w:p>
      <w:r>
        <w:t>In der Literatur wird empfohlen, den Zuschlag für das Risiko von Mietzinsausfällen in einer Bandbreite von 0.0 bis 0.4% (Schätzerhandbuch, S. 66) bzw. 0.0 bis 0.5% (Canonica, a.a.O., S. 100) festzusetzen. Die Vorinstanz hat innerhalb dieser Bandbreite einen eher tiefen Wert gewählt.</w:t>
      </w:r>
    </w:p>
    <w:p>
      <w:r>
        <w:rPr>
          <w:b/>
        </w:rPr>
        <w:t>E. 15.4.3</w:t>
      </w:r>
    </w:p>
    <w:p>
      <w:r>
        <w:t>Gerade bei der Festlegung der Zuschläge zum Nettokapitalisierungssatz kommt dem Schätzer ein gewisses Ermessen zu (vgl. zu dieser Thematik Wipfli, a.a.O., S. 82 ff. [insb. S 85, 88]). Es besteht vorliegend kein Anlass, in dieses Ermessen einzugreifen: Die vom Enteigneten im Beschwerdeverfahren nachgereichte Übersicht weist für das Jahr 2001 tatsächliche Mietzinseinnahmen von Fr. 236'844.- und Mietzinsausfälle von Fr. 2'760.- aus. Damit liegen per Stichtag keine unüblichen Mietzinsausfälle vor. Entsprechendes gilt auch für die Liegenschaften (Adresse 5) und (Adresse 6) (vgl. das heutige Urteil im Verfahren A 2160/2012 [E. 15.4] und A-2163/2012 [E. 15.4]). Auf die Leerstände im Jahr 2002 und den folgenden Jahren ist nicht abzustellen, da als Bewertungsstichtag der 30. Oktober 2001 festgesetzt wurde (vgl. dazu aber immerhin unten E. 16). Weiter ist aus der Fotodokumentation zum Schätzungsprotokoll durchaus ersichtlich, dass die Wohnungen einen gehobenen Standard aufweisen. Die Enteigner vermögen unter diesen Umständen nicht darzutun, weshalb die 2001 verlangten Mieten als hoch eingestuft werden müssten. Es ist deshalb nicht davon auszugehen, dass allein schon aufgrund der verlangten Mieten ein erhöhtes Risiko von Leerständen bestand.</w:t>
      </w:r>
    </w:p>
    <w:p>
      <w:r>
        <w:rPr>
          <w:b/>
        </w:rPr>
        <w:t>E. 15.4.4</w:t>
      </w:r>
    </w:p>
    <w:p>
      <w:r>
        <w:t>Der Zuschlag für das Mietzinsrisiko ist damit bei 0.12% zu belassen.</w:t>
      </w:r>
    </w:p>
    <w:p>
      <w:r>
        <w:rPr>
          <w:b/>
        </w:rPr>
        <w:t>E. 15.5</w:t>
      </w:r>
    </w:p>
    <w:p>
      <w:r>
        <w:t>Zur Ermittlung des Verkehrswerts ist vom Ertragswert die technische Entwertung in Abzug zu bringen. Nach dem von der Vorinstanz gewählten Vorgehen wird die technische Entwertung mit dem Rückstellungssaldo gleichgesetzt, d.h. dem Endwert der geäufneten, aber noch nicht reinvestierten jährlichen Rückstellungsbeträge für periodische Erneuerungen (vgl. dazu Canonica, a.a.O., S. 275). Im vorliegenden Fall ging die Vorinstanz von einem jährlichen Rückstellungsbetrag von Fr. 17'384.- über 6 Jahre aus, die Aufzinsung erfolgte anhand des Basiszinssatzes von 4.25%. Dies ergibt einen Rückstellungssaldo von Fr. 116'036.-. Das Gebäude hat zwar Baujahr 1994, wurde also ungefähr sieben Jahre vor dem Bewertungsstichtag fertiggestellt. Doch führt die Vorinstanz aus, die Liegenschaft sei gut unterhalten. Es lasse sich nach der Schätzer­praxis vertreten, bei Liegenschaften mit hervorragendem Unterhalt "den Beginn für die Rückstellungen im Rahmen der Ertragswertberechnung um fünf bis sieben Jahre ab Erstellungszeitpunkt aufzuschieben", zumal zwischen Alter und Wert einer Baute nur ein sehr loser Zusammenhang bestehe. In Anbetracht des guten Unterhalts des Mehrfamilienhauses im vorliegenden Fall sei es sachgerecht, nur für sechs Jahre vor dem Stichtag aufgelaufene Rückstellungen für Erneuerungskosten abzuziehen.</w:t>
      </w:r>
    </w:p>
    <w:p>
      <w:r>
        <w:rPr>
          <w:b/>
        </w:rPr>
        <w:t>E. 15.5.1</w:t>
      </w:r>
    </w:p>
    <w:p>
      <w:r>
        <w:t>Die Enteigner machen geltend, korrekterweise müssten sieben anstatt nur sechs Jahre an aufgelaufenen Rückstellungen in Abzug gebracht werden. Die angeblich bisher gute Erhaltung der Liegenschaft stelle keinen Grund dar, nicht die ganze Periode seit der letzen Renovation bzw. vorliegend dem Neubau zu berücksichtigen. Dabei weisen die Enteigner auf den Umstand hin, dass die Vorinstanz bei der Festlegung des jährlichen Rückstellungsbetrags von einem Instandsetzungszyklus von 30 Jahren und von 30 konstanten jährlichen Rückstellungen ausgegangen ist. Daher, so die Enteigner sinngemäss, müsse nun auch der gesamte Zeitraum ab Erstellung des Gebäudes in die Berechnung des Rückstellungssaldos einbezogen werden.</w:t>
      </w:r>
    </w:p>
    <w:p>
      <w:r>
        <w:rPr>
          <w:b/>
        </w:rPr>
        <w:t>E. 15.5.2</w:t>
      </w:r>
    </w:p>
    <w:p>
      <w:r>
        <w:t>Massgeblich zur Berechnung des Rückstellungssaldos ist das technische Alter der Erneuerungssubstanz der Baute. Nach Canonica wird zur Bestimmung dieses technischen Alters die Erneuerungssubstanz in Bauteilgruppen gegliedert, für jede dieser Gruppen die Differenz zwischen Gesamtlebensdauer und Restnutzungsdauer bestimmt und dann ein Durchschnitt gebildet (vgl. Canonica, a.a.O., S. 269). Demnach hängt das technische Alter von der Beurteilung der Restnutzungsdauer der Bauteile und damit von deren tatsächlichem Zustand ab. Das technische Alter muss also nicht mit dem tatsächlichen Alter übereinstimmen. Geht es, wie vorliegend, um eine neuere oder vor kurzem gesamthaft erneuerte Baute, deren Erneuerungsbauteile gleichmässig gealtert haben, kann zwar vereinfachend "die Anzahl Jahre seit dem letzten entwertungsfreien Zustand" herangezogen werden. Gemeint ist aber auch damit das technische und nicht das tatsächliche Alter (vgl. Canonica, a.a.O., S. 275). Entsprechend muss es möglich sein, ein tatsächliches Alter von 7 Jahren aufgrund der konkreten Umstände um wenigstens ein Jahr zu "kürzen" und von einem technischen Alter von 6 Jahren auszugehen. Inwiefern die Vorinstanz zu Unrecht von einer gut erhaltenen Liegenschaft ausgegangen sein soll, legen die Enteigner nicht dar. Der von den Enteignern erwähnte Instandsetzungszyklus wurde von der Vorinstanz hingegen abstrakt bestimmt. Es liegt damit nur scheinbar ein Widerspruch vor.</w:t>
      </w:r>
    </w:p>
    <w:p>
      <w:r>
        <w:rPr>
          <w:b/>
        </w:rPr>
        <w:t>E. 15.5.3</w:t>
      </w:r>
    </w:p>
    <w:p>
      <w:r>
        <w:t>Die technische Entwertung wurde von der Vorinstanz somit korrekt berücksichtigt.</w:t>
      </w:r>
    </w:p>
    <w:p>
      <w:r>
        <w:rPr>
          <w:b/>
        </w:rPr>
        <w:t>E. 15.6</w:t>
      </w:r>
    </w:p>
    <w:p>
      <w:r>
        <w:t>Zusammenfassend wird zu beurteilen sein, wie hinsichtlich der "lärmunempfindlichen Räume" und Parkplätze zu verfahren ist. Im Übrigen sind bei der Verkehrswertbestimmung grundsätzlich keine Korrekturen vorzunehmen.</w:t>
      </w:r>
    </w:p>
    <w:p>
      <w:r>
        <w:rPr>
          <w:b/>
        </w:rPr>
        <w:t>E. 16</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13.3.6 bis 13.3.8). Dabei wird dem Umstand Rechnung zu tragen sein, dass die Lärmbelastung seit der vollständigen Einführung der Ostanflüge am späteren Abend und in den ersten Nachtstunden besonders gross ist (vgl. oben E. 14.5 und 14.6).</w:t>
      </w:r>
    </w:p>
    <w:p>
      <w:r>
        <w:rPr>
          <w:b/>
        </w:rPr>
        <w:t>E. 16.1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19.1).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16.2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w:t>
      </w:r>
    </w:p>
    <w:p>
      <w:r>
        <w:rPr>
          <w:b/>
        </w:rPr>
        <w:t>E. 17</w:t>
      </w:r>
    </w:p>
    <w:p>
      <w:r>
        <w:t>Demnach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18</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18.1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18.2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18.3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18.3.1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18.3.2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18.4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18.4.1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18.4.2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18.4.3</w:t>
      </w:r>
    </w:p>
    <w:p>
      <w:r>
        <w:t>Das Bundesverwaltungsgericht erachtet es aus diesen Gründen nicht für möglich, einzelfallweise einen allfälligen Einfluss der vorbestehenden Fluglärmbelastung auf den Kaufpreis zu prüfen.</w:t>
      </w:r>
    </w:p>
    <w:p>
      <w:r>
        <w:rPr>
          <w:b/>
        </w:rPr>
        <w:t>E. 18.5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18.6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18.7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19.1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19.2</w:t>
      </w:r>
    </w:p>
    <w:p>
      <w:r>
        <w:t>Hatte die Fluglärmbelastung zum Kauf- oder Erstellungszeitpunkt bereits ein bestimmtes Niveau erreicht, kann generell von einer "Einpreisung" bzw. von reduzierten Renditeerwartungen ausgegangen werden (vgl. oben E. 18.4.2 und E. 18.5). Zu beurteilen ist nun, wo die entsprechende Schwelle anzusetzen ist.</w:t>
      </w:r>
    </w:p>
    <w:p>
      <w:r>
        <w:rPr>
          <w:b/>
        </w:rPr>
        <w:t>E. 19.2.1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19.2.2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19.2.3</w:t>
      </w:r>
    </w:p>
    <w:p>
      <w:r>
        <w:t>Sofern die Grundbelastung im Zeitraum des Erwerbs einer Liegenschaft bzw. der Erstellung eines Mehrfamilienhauses 60 dB erreichte, ist demnach von einer "Einpreisung" bzw. von reduzierten Renditeerwartungen auszugehen.</w:t>
      </w:r>
    </w:p>
    <w:p>
      <w:r>
        <w:rPr>
          <w:b/>
        </w:rPr>
        <w:t>E. 19.3</w:t>
      </w:r>
    </w:p>
    <w:p>
      <w:r>
        <w:t>Es bleibt die Höhe des Abzugs zu bestimmen, der bei der Komponente "lärmverursachter Minderwert" gegebenenfalls vorzunehmen ist.</w:t>
      </w:r>
    </w:p>
    <w:p>
      <w:r>
        <w:rPr>
          <w:b/>
        </w:rPr>
        <w:t>E. 19.3.1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19.3.2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21.4.1).</w:t>
      </w:r>
    </w:p>
    <w:p>
      <w:r>
        <w:rPr>
          <w:b/>
        </w:rPr>
        <w:t>E. 19.3.3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19.3.4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19.4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20</w:t>
      </w:r>
    </w:p>
    <w:p>
      <w:r>
        <w:t>Im vorliegenden Fall hat der Enteignete die Liegenschaft gemäss den Ausführungen der Vorinstanz im Rahmen einer Realteilung unter Geschwistern erworben und in der Folge darauf das Mehrfamilienhaus erstellen lassen. Das Bauland habe sich vor der Realteilung aus zwei Teilen zusammengesetzt, nämlich einer 1992 erfolgten Schenkung seitens der Mutter des Enteigneten sowie einem Zukauf. Was die Schenkung betreffe, sei diese als Erbvorbezug zu qualifizieren. Die Mutter ihrerseits habe das Land von ihrem Rechtsvorgänger durch Erbgang erworben. Dieser wiederum sei bereits vor 1961 Eigentümer des Landes gewesen (welches 1978 und 1991 in Quartierpläne einbezogen worden sei). Im Jahr 1993 hätten der Enteignete und seine drei Geschwister dieses als Erbvorbezug empfangene Land zusammen mit der benachbarten, zugekauften Parzelle relativ gleichmässig untereinander aufgeteilt (wobei zusätzlich ein untergeordneter Landabtausch mit einer weiteren Parzelle stattgefunden habe). Die Liegenschaft des Enteigneten bilde nun in vollem Umfang einen Ausschnitt aus der zugekauften Parzelle. Gemäss der Vorinstanz gilt gestützt auf diesen Sachverhalt das gesamte Land als nach 1961 durch Kauf erworben. Damit ist sowohl hinsichtlich des Landes als auch hinsichtlich des Gebäudes ein Abzug zu prüfen.</w:t>
      </w:r>
    </w:p>
    <w:p>
      <w:r>
        <w:rPr>
          <w:b/>
        </w:rPr>
        <w:t>E. 20.1</w:t>
      </w:r>
    </w:p>
    <w:p>
      <w:r>
        <w:t>In Bezug auf das Gebäude macht der Enteignete in seiner Stellungnahme vom 29. Oktober 2012 geltend, es sei nicht das Jahr der Bauvollendung (1994), sondern das Jahr des Baubeginns (1993) massgeblich. Das Bundesgericht hat tatsächlich festgehalten, für die Vorhersehbarkeit der Lärmeinwirkungen sei bei der Überbauung eines Grundstücks darauf abzustellen, ob der Werkvertrag vor dem 1. Januar 1961 abgeschlossen worden sei oder - falls sich dies nicht mehr eruieren lasse - ob der Baubeginn in die Zeit vor diesem Datum falle (BGE 134 II 49 E. 7). Damit ist auch bei der Beurteilung, ob der Eigentümer allenfalls reduzierte Renditeerwartungen hatte, auf den Zeitpunkt des Abschlusses des Werkvertrags bzw. des Baubeginns abzustellen. Unter "Erstellungszeitpunkt" ist im vorliegenden Zusammenhang also dieser Zeitpunkt zu verstehen. Die Enteigner fordern in ihrer Stellungnahme vom 10. April 2013 sodann, sollte auf ein Erstellungsjahr 1993 abgestellt werden, müsse (im Rahmen der Verkehrswertschätzung) auch die Altersentwertung noch für ein Jahr länger berücksichtigt werden. Dem ist nicht zu folgen. Denn zwischen der Frage nach den Renditeerwartungen und der Beurteilung der Altersentwertung besteht kein Zusammenhang.</w:t>
      </w:r>
    </w:p>
    <w:p>
      <w:r>
        <w:rPr>
          <w:b/>
        </w:rPr>
        <w:t>E. 20.2</w:t>
      </w:r>
    </w:p>
    <w:p>
      <w:r>
        <w:t>Damit ist zu prüfen, ob die Grundbelastung zum Zeitpunkt des Zukaufs 60 dB erreichte. Gegebenenfalls ist ein Abzug in der Höhe von 5% des relativen Landwerts vorzunehmen. Weiter ist abzuklären, ob die Grundbelastung zum oben umschriebenen Erstellungszeitpunkt 60 dB erreichte. Gegebenenfalls ist ein Abzug in der Höhe von 5% des Gebäudewerts vorzunehmen. Im Fall einer deutlichen Überschreitung der Schwelle von 60 dB sind die Abzüge höher anzusetzen. Bestimmung des Zuschlags für nicht lärmbezogene Aspekte</w:t>
      </w:r>
    </w:p>
    <w:p>
      <w:r>
        <w:rPr>
          <w:b/>
        </w:rPr>
        <w:t>E. 21</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21.1</w:t>
      </w:r>
    </w:p>
    <w:p>
      <w:r>
        <w:t>Der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21.2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21.3</w:t>
      </w:r>
    </w:p>
    <w:p>
      <w:r>
        <w:t>In einem ersten Schritt ist zu prüfen, in welcher Bandbreite sich die Zuschläge zu bewegen haben. Dies unabhängig von der Frage nach den konkreten Berechnungsmodalitäten, die in einem zweiten Schritt geprüft werden sollen.</w:t>
      </w:r>
    </w:p>
    <w:p>
      <w:r>
        <w:rPr>
          <w:b/>
        </w:rPr>
        <w:t>E. 21.3.1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21.3.2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21.3.3</w:t>
      </w:r>
    </w:p>
    <w:p>
      <w:r>
        <w:t>Als Zwischenfazit ist somit festzuhalten, dass die Bandbreite des Zuschlags für nicht lärmbezogene Aspekte im Hinblick auf ein angemessenes Verhältnis zu den lärmbedingten Minderwerten zu bestimmen ist.</w:t>
      </w:r>
    </w:p>
    <w:p>
      <w:r>
        <w:rPr>
          <w:b/>
        </w:rPr>
        <w:t>E. 21.4</w:t>
      </w:r>
    </w:p>
    <w:p>
      <w:r>
        <w:t>Der Enteignete stellt sich auf den Standpunkt, die Zuschläge könnten nicht allein auf Basis des Landwerts - erst noch desjenigen mit Fluglärm - berechnet werden. Zwar kann dem Enteigneten nach dem zuvor Gesagten (oben E. 21.3.1) sicherlich nicht entsprochen werden, soweit diese einfach dieselben Prozentsätze auf dem Wert von Land und Gebäude zur Anwendung gebracht haben will. Doch ist zu prüfen, ob die von der Vorinstanz festgelegten Berechnungsmodalitäten sachgerecht sind.</w:t>
      </w:r>
    </w:p>
    <w:p>
      <w:r>
        <w:rPr>
          <w:b/>
        </w:rPr>
        <w:t>E. 21.4.1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19.3.2).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[vgl. dazu vorne E. 9]). Diese Aufgliederung erfolgte direkt anhand des Landwertanteils gemäss Lageklasse. Der eigentliche relative Landwert wurde dabei nicht ermittelt.</w:t>
      </w:r>
    </w:p>
    <w:p>
      <w:r>
        <w:rPr>
          <w:b/>
        </w:rPr>
        <w:t>E. 21.4.2</w:t>
      </w:r>
    </w:p>
    <w:p>
      <w:r>
        <w:t>Wie erwähnt bringt der Enteignete vor, der Zuschlag sei nicht nur auf dem Landwert, sondern auch auf dem Gebäudewert zu gewähren. Er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19.3.2).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21.4.3</w:t>
      </w:r>
    </w:p>
    <w:p>
      <w:r>
        <w:t>Bei der Ermittlung der relativen Landwerte hat die Vorinstanz jeweils auf die Lageklasse mit Fluglärm abgestellt; sie hat insofern also einen Wert mit Fluglärm ermittelt. Ebenfalls hat sie bei Bauland den Verkehrswert mit Fluglärm herangezogen. Der Enteignete bringt vor, der Zuschlag sei auf dem Verkehrswert ohne Fluglärm zu berechnen. Seiner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21.3). Die Minderwerte nähern sich der erwähnten "Obergrenze" einer vollständigen Entwertung damit nicht. Es spricht daher nichts dagegen, auch den Zuschlag auf Basis des Verkehrswerts ohne Fluglärm festzusetzen.</w:t>
      </w:r>
    </w:p>
    <w:p>
      <w:r>
        <w:rPr>
          <w:b/>
        </w:rPr>
        <w:t>E. 21.4.4</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21.4.5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21.5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22</w:t>
      </w:r>
    </w:p>
    <w:p>
      <w:r>
        <w:t>Die Enteigner stellen sich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22.1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22.2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22.3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22.4</w:t>
      </w:r>
    </w:p>
    <w:p>
      <w:r>
        <w:t>Der Umstand, dass ein Grundstück erst nach dem 1. Januar 1961 erworben oder überbaut wurde, stellt damit keinen Grund für eine Kürzung der Entschädigung dar. Verzinsung der Enteignungsentschädigung</w:t>
      </w:r>
    </w:p>
    <w:p>
      <w:r>
        <w:rPr>
          <w:b/>
        </w:rPr>
        <w:t>E. 23</w:t>
      </w:r>
    </w:p>
    <w:p>
      <w:r>
        <w:t>Die festgesetzte Enteignungsentschädigung ist gemäss dem angefochtenen Entscheid ab dem 1. Januar 2007 zu verzinsen. Die Vorinstanz führt hierzu aus, bei fluglärmbetroffenen Renditeliegenschaften habe das Bundesgericht einen Aufschub der Verzinsung um 5 Jahre grundsätzlich geschützt. Vorbehalten worden sei der Nachweis einer konkreten Nutzungseinbusse. Der Enteignete vermöge nicht mehr zu dokumentieren, als dass sich ein schleichender Ertragsrückgang eingestellt habe. Dies genüge nicht, um auf den Aufschub der Verzinsung um 5 Jahre zu verzichten.</w:t>
      </w:r>
    </w:p>
    <w:p>
      <w:r>
        <w:rPr>
          <w:b/>
        </w:rPr>
        <w:t>E. 23.1</w:t>
      </w:r>
    </w:p>
    <w:p>
      <w:r>
        <w:t>Der Enteignete beantragt, es sei eine Verzinsung ab dem 1. Januar 2005 anzuordnen. Er habe nachgewiesen, dass seine Erträge bereits im Jahr 2005 um knapp 10% tiefer gelegen hätten als noch im Jahr 2001. Im gleichen Zeitraum sei das allgemeine Mietzinsniveau um etwa 3% gestiegen. Von einem bloss schleichenden Ertragsrückgang könne daher keine Rede sein.</w:t>
      </w:r>
    </w:p>
    <w:p>
      <w:r>
        <w:rPr>
          <w:b/>
        </w:rPr>
        <w:t>E. 23.2</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dazu BGE 121 II 350 E. 5e mit Hinweisen). In den Opfiker Pilotfällen hat das Bundesgericht meistens festgehalten, die Entstehung des Entschädigungsanspruchs falle praktisch mit dem auf den 1. Januar 1997 festgelegten Schätzungsstichtag zusammen und die Entschädigung sei ab diesem Zeitpunkt zu verzinsen (vgl. z.B. BGE 134 II 49 E. 21). Es führte jedoch auch aus, nach der Lebenserfahrung werde sich bei Mietobjekten, die Wohnzwecken dienen, die Ertragslage bei Mehrlärm nur langsam verschlechtern. Die meisten Mieter scheuten die Mühen und Kosten eines Umzugs. Alteingesessene Mieter würden ihre Wohnungen nicht leicht aufgeben. Mieterwechsel und Leerstände würden sich daher erst allmählich, im Laufe mehrerer Jahre, häufen. Mietzinsreduktionen infolge Immissionsbeeinträchtigungen seien in der Praxis nur schwer durchsetzbar. Die Mietzinse würden daher häufig noch einige Jahre gleichgehalten. Eine schleichende Entwertung werde sich über kurz oder lang aber darin zeigen, dass für die lärmbelasteten Wohnungen nicht mehr dieselben Mietzinse erzielt werden können wie für vergleichbare Objekte an ruhiger Lage. Der Umstand, dass sich Mietertragsverluste häufig erst allmählich einstellten, könne etwa dadurch berücksichtigt werden, dass eine zu leistende Entschädigung nicht schon ab dem Schätzungsstichtag zu verzinsen sei. Dem Eigentümer müsse jedoch Gelegenheit gegeben werden, eine sofortige Ertragseinbusse nachzuweisen (vgl. BGE 134 II 160 E. 13 und E. 14.2). Entsprechend hat die Vorinstanz die Verzinsung mangels Nachweis einer konkreten Ertragseinbusse jeweils um 5 Jahre aufgeschoben, was vom Bundesverwaltungsgericht (vgl. Urteil A-2684/2010 vom 19. Januar 2011 E. 25) und vom Bundesgericht (vgl. Urteil 1C_100/2011 vom 9. Dezember 2011 E. 13.5) geschützt wurde.</w:t>
      </w:r>
    </w:p>
    <w:p>
      <w:r>
        <w:rPr>
          <w:b/>
        </w:rPr>
        <w:t>E. 23.3</w:t>
      </w:r>
    </w:p>
    <w:p>
      <w:r>
        <w:t>Auch in den vorliegenden Fällen fällt die Besitzergreifung bzw. die Entstehung des Anspruchs praktisch mit dem Schätzungsstichtag vom 1. Januar 2002 zusammen. Grundsätzlich ist damit nichts dagegen einzuwenden, dass bei Ertragsliegenschaften ein Zins erst ab dem 1. Januar 2007 zugesprochen wird. Zu prüfen bleibt, ob der Enteignete bereits für einen früheren Zeitpunkt eine konkrete Ertragseinbusse nachweisen kann.</w:t>
      </w:r>
    </w:p>
    <w:p>
      <w:r>
        <w:rPr>
          <w:b/>
        </w:rPr>
        <w:t>E. 23.4</w:t>
      </w:r>
    </w:p>
    <w:p>
      <w:r>
        <w:t>Die vom Enteigneten im vorinstanzlichen Verfahren eingereichte Übersicht über die Mietzinseinnahmen (act. 18 der Vorakten [...]) weist für das Jahr 2001 Nettomieten von Fr. 237'816.- aus. Bis zum Jahr 2005 hat sich dieser Betrag gemäss der Übersicht kontinuierlich bis auf Fr. 214'994.- und damit um 9.6% reduziert. Allerdings hat der Enteignete der Vorinstanz keine Übersicht eingereicht, welche für die verschiedenen Jahre auch die Soll-Mieten und die Anzahl der Mieterwechsel ausweist. Aus der vom Enteigneten im Beschwerdeverfahren nachgereichte Übersicht geht ergänzend lediglich die Soll-Miete des Jahres 2001 hervor. Im Übrigen ergeben sich geringfügige Abweichungen gegenüber den der Vorinstanz eingereichten Zahlen. Es ist aus den Unterlagen also nicht ersichtlich, inwieweit die Mietzinse reduziert wurden und inwieweit es zu vermehrten Leerständen gekommen ist. Weder ist damit die Entwicklung nach dem Schätzungsstichtag im Einzelnen nachvollziehbar noch lassen sich die Angaben des Enteigneten auf Plausibilität überprüfen. Im Übrigen ist zu beachten, dass der mietrechtlich relevante kantonale Hypothekarzinssatz Ende 2001 noch 4.25%, Ende 2004 aber nur noch 3.25% betragen hat (vgl. www.mietrecht.ch Hypo-Referenzzins Tabellen Hypothekarzins in den Kantonen seit 1983 Zürich; besucht am 11. März 2013). Die Reduktion der Mieterträge um 9.6% lässt sich zwar kaum allein mit dieser Zinssatzentwicklung erklären. Doch kann nicht ausgeschlossen werden, dass sie zu wesentlichen Teilen auf die Hypothekarzinssenkung zurückzuführen ist. Aufgrund der dürftigen Unterlagen und vor dem Hintergrund der Hypothekarzinsentwicklung ist ein Aufschub der Verzinsung bis zum 1. Januar 2007 jedenfalls auch im vorliegenden Fall nicht zu beanstanden. Ausgang des Beschwerdeverfahrens</w:t>
      </w:r>
    </w:p>
    <w:p>
      <w:r>
        <w:rPr>
          <w:b/>
        </w:rPr>
        <w:t>E. 24.1</w:t>
      </w:r>
    </w:p>
    <w:p>
      <w:r>
        <w:t>Der Enteignete dringt mit seinen Rügen demnach insofern durch, als im Fall eines "Teilüberflugs" keine Kürzung der Entschädigung vorzunehmen ist (E. 9 und 10), zur Ermittlung des lärmbedingten Minderwerts die Lärmwerte des Jahres 2004 oder eines späteren Jahres heranzuziehen sind (E. 12 und 13; beachte auch E. 16) und eine Anwendung des Modells ESchK in den vorliegenden Fällen nicht sachgerecht ist (E. 14; beachte auch E. 15.2). Beide Parteien beanstanden zudem zu Recht das Vorgehen der Vorinstanz im Zusammenhang mit der Berücksichtigung der vorbestehenden Lärmbelastung (E. 18 bis 20) sowie die Bestimmung des Zuschlags für nicht lärmbezogene Aspekte (E. 21). Im Übrigen dringen sie mit ihren Beschwerden nicht durch.</w:t>
      </w:r>
    </w:p>
    <w:p>
      <w:r>
        <w:rPr>
          <w:b/>
        </w:rPr>
        <w:t>E. 24.2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sind gewisse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Weiter ist die Grundbelastung zum Erwerbs- bzw. Erstellungszeitpunkt abzuklären.</w:t>
      </w:r>
    </w:p>
    <w:p>
      <w:r>
        <w:rPr>
          <w:b/>
        </w:rPr>
        <w:t>E. 24.3</w:t>
      </w:r>
    </w:p>
    <w:p>
      <w:r>
        <w:t>Damit sind die Beschwerden der Enteigner und des Enteigneten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25</w:t>
      </w:r>
    </w:p>
    <w:p>
      <w:r>
        <w:t>Da der angefochtene Entscheid teilweise aufzuheben und das vorinstanzliche Verfahren wieder aufzunehmen ist, erübrigt es sich, über das Begehren der Enteigner um Reduktion der vorinstanzlichen Parteientschädigung bzw. über das Begehren des Enteigneten um Erhöhung dieser Entschädigung zu befinden (vgl. Urteile des Bundesgerichts 1E.11/2007 vom 14. April 2008 E. 13 und 1E.8/2007 vom 28. April 2008 E. 17). Der angefochtene Entscheid ist vielmehr auch insoweit aufzuheben, als dem Enteigneten eine Parteientschädigung zugesprochen wurde (Ziff. 7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des Enteigneten, die Flughafen Zürich AG sei zur Offenlegung ihrer sämtlichen Aufwendungen im Zusammenhang mit der Abwehr der Entschädigungsforderung des Enteigneten zu verpflichten, wird damit gegenstandslos (vgl. zu diesem Antrag im Übrigen Urteil des Bundesverwaltungsgerichts A-330/2013 vom 26. Juli 2013 E. 3). Kosten- und Entschädigungsfolgen</w:t>
      </w:r>
    </w:p>
    <w:p>
      <w:r>
        <w:rPr>
          <w:b/>
        </w:rPr>
        <w:t>E. 26</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dem Enteigneten aufzuerlegen und diesem sei keine Parteientschädigung zuzusprechen, ist demnach abzuweisen. Die Flughafen Zürich AG als Enteignerin hat sowohl die Verfahrenskosten zu tragen als auch eine Parteientschädigung an den Enteigneten zu leisten.</w:t>
      </w:r>
    </w:p>
    <w:p>
      <w:r>
        <w:rPr>
          <w:b/>
        </w:rPr>
        <w:t>E. 27</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10'000.- sind den Enteignern nach Eintritt der Rechtskraft des vorliegenden Urteils Fr. 5'000.- zurückzuerstatten.</w:t>
      </w:r>
    </w:p>
    <w:p>
      <w:r>
        <w:rPr>
          <w:b/>
        </w:rPr>
        <w:t>E. 28</w:t>
      </w:r>
    </w:p>
    <w:p>
      <w:r>
        <w:t>Die Parteientschädigung umfasst die Kosten der Vertretung sowie allfällige weitere Auslagen der Partei (Art. 8 Abs. 1 VGKE).</w:t>
      </w:r>
    </w:p>
    <w:p>
      <w:r>
        <w:rPr>
          <w:b/>
        </w:rPr>
        <w:t>E. 28.1</w:t>
      </w:r>
    </w:p>
    <w:p>
      <w:r>
        <w:t>Der Enteignete hat dem Bundesverwaltungsgericht am 3. Septem­ber 2013 die detaillierte Kostennote seiner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28.2</w:t>
      </w:r>
    </w:p>
    <w:p>
      <w:r>
        <w:t>Zunächst ist der geltend gemachte Stundenaufwand zu beurteilen.</w:t>
      </w:r>
    </w:p>
    <w:p>
      <w:r>
        <w:rPr>
          <w:b/>
        </w:rPr>
        <w:t>E. 28.2.1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28.2.2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28.3</w:t>
      </w:r>
    </w:p>
    <w:p>
      <w:r>
        <w:t>Es ist weiter auf die geltend gemachten Stundenansätze einzugehen.</w:t>
      </w:r>
    </w:p>
    <w:p>
      <w:r>
        <w:rPr>
          <w:b/>
        </w:rPr>
        <w:t>E. 28.3.1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28.3.2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28.4</w:t>
      </w:r>
    </w:p>
    <w:p>
      <w:r>
        <w:t>Zu entschädigen sind im vorliegenden Verfahren 50.02 Stunden zu Fr. 300.- und 3.02 Stunden zu Fr 180.-, insgesamt also Fr. 15'549.60.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15'549.60 (Honorar) + Fr. 200.- (Auslagen) + Fr. 1'259.95 (Mehrwertsteuer 8.0%) = Fr. 17'009.55. Die Flughafen Zürich AG ist zu verpflichten, dem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