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A-2133/2022 vom 25. März 2025</w:t>
      </w:r>
    </w:p>
    <w:p>
      <w:r>
        <w:t>Bundesverwaltungsgericht, 2025-03-25, IT</w:t>
      </w:r>
    </w:p>
    <w:p>
      <w:r>
        <w:rPr>
          <w:b/>
        </w:rPr>
        <w:t xml:space="preserve">Quelle: </w:t>
      </w:r>
      <w:r>
        <w:t>https://mcp.opencaselaw.ch/entscheid/bvger_A-2133_2022</w:t>
      </w:r>
    </w:p>
    <w:p>
      <w:r>
        <w:t>FR: TAF A-2133/2022 du 25 mars 2025</w:t>
      </w:r>
    </w:p>
    <w:p>
      <w:r>
        <w:t>IT: TAF A-2133/2022 del 25 marzo 2025</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del ricorrente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André Moser et al., Prozessieren vor dem Bundesverwaltungsgericht, 3a ed. 2022,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(cfr. fatti, sub lett. D.a e D.b).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In concreto, oggetto del litigio è la decisione finale del 6 aprile 2022 dell'autorità inferiore, con cui quest'ultima ha accolto la domanda raggruppata italiana di assistenza amministrativa del 23 novembre 2018, per quanto concerne il ricorrente. In tale contesto, qui di seguito verranno innanzitutto richiamati i principi applicabili alla presente fattispecie.</w:t>
      </w:r>
    </w:p>
    <w:p>
      <w:r>
        <w:rPr>
          <w:b/>
        </w:rPr>
        <w:t>E. 3.1.1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3.1.2</w:t>
      </w:r>
    </w:p>
    <w:p>
      <w:r>
        <w:t>Nello specifico, la domanda raggruppata italiana di assistenza amministrativa del 23 novembre 2018 - oltre a fondarsi sull'art. 27 CDI CH-IT e la lett. ebis del Protocollo aggiuntivo - si fonda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3.2.1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larga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3.1.2 del presente giudizio) - l'Accordo amministrativo costituisce un mero esempio di applicazione della CDI CH-IT che non ne può né estendere, né restringere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3.2.2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3.3.1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ammesso solo in via eccezionale (cfr. DTF 143 II 136 consid. 6.1.2; sentenza del TF 2C_73/2021 del 27 dicembre 2021 consid. 4.1).</w:t>
      </w:r>
    </w:p>
    <w:p>
      <w:r>
        <w:rPr>
          <w:b/>
        </w:rPr>
        <w:t>E. 3.3.3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3.4.1</w:t>
      </w:r>
    </w:p>
    <w:p>
      <w:r>
        <w:t>Il principio della buona fede (cfr. art. 7 lett. c LAAF) trova applicazione,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3.4.2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3.6.1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3.3.1 del presente giudizio; cfr. [tra le tante] sentenze del TAF A-1761/2021 del 2 dicembre 2021 consid. 2.7.2; A-5662/2020 del 10 maggio 2021 consid. 2.7.2).</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w:t>
      </w:r>
    </w:p>
    <w:p>
      <w:r>
        <w:rPr>
          <w:b/>
        </w:rPr>
        <w:t>E. 4</w:t>
      </w:r>
    </w:p>
    <w:p>
      <w:r>
        <w:t>Stabiliti i principi qui applicabili, lo scrivente Tribunale rileva come in concreto la domanda raggruppata italiana di assistenza amministrativa del 23 novembre 2018, alla base della presente procedura di ricorso, sia già stata oggetto - come detto (cfr. fatti, sub lett. D) - della sentenza pilota dello scrivente Tribunale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dalla ricorrente in correlazione con degli elementi su cui il Tribunale federale non si è pronunciato nella predetta sentenza 2C_73/2021, possono essere, di principio, ancora esaminate in dettaglio dallo scrivente Tribunale. Per quanto attiene alle censure già evase dal Tribunale federale, lo scrivente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del ricorrente,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4.1</w:t>
      </w:r>
    </w:p>
    <w:p>
      <w:r>
        <w:t>Sul piano formale, con sentenza federale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è altresì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B._______/C._______);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eventuale censura relativa al difetto dei requisiti formali non può che essere respinta.</w:t>
      </w:r>
    </w:p>
    <w:p>
      <w:r>
        <w:rPr>
          <w:b/>
        </w:rPr>
        <w:t>E. 4.2</w:t>
      </w:r>
    </w:p>
    <w:p>
      <w:r>
        <w:t>Pure sul piano materiale, con sentenza 2C_73/2021 del 27 dicembre 2021, il Tribunale federale ha confermato che la domanda raggruppata italiana di assistenza amministrativa del 23 novembre 2018 è ammissibile, così come già sancito dallo scrivente Tribunale, con sentenza A-1296/2020 del 21 dicembre 2020. In estrema sintesi, detta domanda non costituisce una « fishing expedition » (cfr. consid. 4.2.1 del presente giudizio) e non viola né il principio della buona fede (cfr. consid. 4.2.2 del presente giudizio), né quello della sussidiarietà (cfr. consid. 4.2.3 del presente giudizio).</w:t>
      </w:r>
    </w:p>
    <w:p>
      <w:r>
        <w:rPr>
          <w:b/>
        </w:rPr>
        <w:t>E. 4.2.1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3.3.3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4.2.1.1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4.2.1.2</w:t>
      </w:r>
    </w:p>
    <w:p>
      <w:r>
        <w:t>Circa invece gli elementi fattuali all'origine del sospetto che le persone appartenenti al gruppo non hanno rispettato i propri obblighi fiscali, il Tribunale rileva come la domanda raggruppata indichi che qui interessati sono i cosiddetti contribuenti italiani recalcitranti, ovvero quei contribuenti italiani che durante il periodo fiscale interessato erano titolari di uno o più conti presso la banca B._______/C._______, domiciliati o residenti in Italia e non hanno reagito alla lettera inviata da detta banca che gli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B._______/C._______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4.2.1.3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B._______, ora C._______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B._______/C._______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B._______/C._______,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B._______/C._______ (minaccia di restrizioni all'utilizzo del conto) che non corrisponde esattamente a quanto esposto nella predetta domanda raggruppata (minaccia di chiusura forzata del conto), il Tribunale federale ha confermato quanto sancito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(lett. ebis cifra 3 del Protocollo aggiuntivo), ciò che si oppone all'adozione di un approccio eccessivamente formalista (cfr. citata sentenza del TF 2C_73/2021 consid. 6.2).</w:t>
      </w:r>
    </w:p>
    <w:p>
      <w:r>
        <w:rPr>
          <w:b/>
        </w:rPr>
        <w:t>E. 4.2.2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B._______/C._______ ivi allegata (cfr. citata sentenza del TF 2C_73/2021 consid. 7.2; parimenti consid. 3.4.3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4.2.3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3.6.2 del presente giudizio).</w:t>
      </w:r>
    </w:p>
    <w:p>
      <w:r>
        <w:rPr>
          <w:b/>
        </w:rPr>
        <w:t>E. 4.3</w:t>
      </w:r>
    </w:p>
    <w:p>
      <w:r>
        <w:t>Ora, nel suo gravame, il ricorrente sostiene che la domanda raggruppata italiana di assistenza amministrativa del 23 novembre 2018 costituirebbe una « fishing expedition » ai sensi della lett. ebis cifra 3 del Protocollo aggiuntivo e dell'art. 7 lett. a LAAF, per i seguenti motivi. Innanzitutto, egli ritiene che l'autorità richiedente italiana non sarebbe stata in grado di provare, sulla base di chiare e precise circostanze fattuali, il modello di comportamento e il sospetto di comportamento illecito alla base della domanda raggruppata italiana, nella misura in cui la lettera 3 febbraio 2014 della banca B._______/C._______ ivi allegata non sarebbe mai stata inviata ai clienti della banca domiciliati in Italia e non annuncerebbe in ogni caso la chiusura forzata del conto come prescritto dall'art. 2 cpv. 2 lett. c e d dell'Accordo amministrativo, bensì unicamente delle limitazioni all'operatività del conto, nel caso in cui il cliente non avesse fornito una prova della conformità fiscale del conto bancario alla normativa fiscale italiana. Il mancato ossequio dell'art. 2 cpv. 2 lett. c e d dell'Accordo amministrativo, equivarrebbe poi a svuotare quest'ultimo di ogni portata materiale, aprendo la via all'arbitrio nel giudicare quando sono realizzate le condizioni poste alla base del modello di comportamento, con risultato di consentire la « fishing expedition » (cfr. ricorso 9 maggio 2022, punti n. 9.2 e 9.3). La lettera 20 febbraio 2015 della banca B._______/C._______ trasmessa successivamente non potrebbe in ogni caso sopperire a tale lacuna materiale (cfr. ricorso 9 maggio 2022, punto n. 9.3). Quanto all'origine della lettera del 3 febbraio 2014, il ricorrente sostiene che si tratterebbe di un documento ottenuto in modo illegale, sicché in applicazione del principio della buona fede, degli artt. 26 e 31 della Convenzione di Vienna del 23 maggio 1969 sul diritto dei trattati (RS 0.111, di seguito: CV) e dell'art. 7 lett. c LAAF, la domanda raggruppata italiana andrebbe respinta senza entrare nel merito (cfr. ricorso 9 maggio 2022, punto n. 9.4). Da ultimo, egli censura la violazione della lett. ebis cifra 1 del Protocollo aggiuntivo, e meglio la violazione del principio della sussidiarietà, in quanto ritiene la mera dichiarazione contenuta nella predetta domanda raggruppata italiana, secondo cui sarebbero stati esauriti i mezzi interni abituali di indagine, come non sufficiente nella misura in cui l'autorità richiedente italiana non avrebbe fornito alcuna prova di tale allegazione (cfr. ricorso 9 maggio 2022, punto n. 9.5). Sennonché tali censure non possono che essere qui respinte. Gli argomenti sollevati dal ricorrente circa l'ammissibilità materiale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4.1 e 4.2 del presente giudizio). È la predetta domanda raggruppata in quanto tale che è stata ritenuta ammissibile dal Tribunale federale. In particolare, come visto, il Tribunale federale ha già avuto modo di esprimersi in merito alla portata dell'Accordo amministrativo (cfr. consid. 3.1.2 del presente giudizio), nonché alle due lettere 3 febbraio 2014 e 20 febbraio 2015, giungendo alla conclusione che la lettera 20 febbraio 2015 è idonea a fondare il modello di comportamento alla base della domanda raggruppata (cfr. considd. 4.2.1.2-4.2.1.3 e 4.2.2 del presente giudizio). Riguardo alla lettera 3 febbraio 2014, il Tribunale federale ha precisato che la sua menzione nella domanda raggruppata non ha alcuna influenza sulla sua ammissibilità, ciò quand'anche non vi sia la prova ch'essa sia stata notificata ai clienti della banca. Quanto alla sua provenienza, il Tribunale federale ne ha escluso la natura illecita ai sensi dell'art. 7 lett. c LAAF. Come visto (cfr. consid. 4.2.3 del presente giudizio), detta domanda raggruppata è stata altresì dichiarata dal Tribunale federale come conforme al principio della sussidiarietà, sicché la censura del ricorrente circa detto principio non può che essere respinta.</w:t>
      </w:r>
    </w:p>
    <w:p>
      <w:r>
        <w:rPr>
          <w:b/>
        </w:rPr>
        <w:t>E. 4.4</w:t>
      </w:r>
    </w:p>
    <w:p>
      <w:r>
        <w:t>Constatata l'ammissibilità della domanda raggruppata italiana di assistenza amministrativa del 23 novembre 2018, occorre ancora stabilire se il ricorrente rientri o meno nel modello di comportamento (lecitamente) ivi descritto dall'autorità richiedente italiana. A tal proposito, il Tribunale rileva come, da un esame degli atti dell'incarto - e meglio dalla documentazione fornita dalla banca B._______/C._______ (cfr. atto n. 18.2 dell'incarto prodotto dall'autorità inferiore su chiave USB [di seguito: inc. AFC], pag. 1) -, risulti chiaramente che durante il periodo interessato dalla predetta domanda raggruppata, il ricorrente era titolare di un conto bancario presso la banca B._______/C._______. È poi verosimile ch'essa abbia ricevuto la lettera 20 febbraio 2015 della predetta banca (cfr. atto n. 18.2 dell'inc. AFC, pag. 5). Dalla documentazione bancaria risulta infatti ch'esso si sia recato a più riprese in banca, il 4 marzo 2015 e il 23 marzo 2015, in occasione delle quali lo stesso è stato informato dal consulente bancario in merito ai rischi legati alla scelta di alternative alla « Voluntary disclosure », decidendo per finire di estinguere il conto bancario (cfr. atto n. 18.2 dell'inc. AFC, pag. 6). In tali circostanze, vi è motivo di presumere ch'esso abbia avuto conoscenza di detto scritto. Secondo quanto giustamente indicato dall'autorità inferiore (cfr. decisione impugnata, considd. 8.3-8.5), il ricorrente non ha reagito a detta lettera comprovando la sua conformità fiscale, sicché lo stesso rientra nel modello di comportamento descritto nella domanda raggruppata. In tali circostanze, nel suo caso la trasmissione delle informazioni risulta dunque ammissibile.</w:t>
      </w:r>
    </w:p>
    <w:p>
      <w:r>
        <w:rPr>
          <w:b/>
        </w:rPr>
        <w:t>E. 5.1</w:t>
      </w:r>
    </w:p>
    <w:p>
      <w:r>
        <w:t>In conclusione, lo scrivente Tribunale deve constatare che la domanda raggruppata italiana di assistenza amministrativa del 23 novembre 2018 adempie tutti i requisiti formali e materiali alla base della sua ammissibilità. Nella misura in cui il qui ricorrente rientra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dal ricorrente nel suo gravame.</w:t>
      </w:r>
    </w:p>
    <w:p>
      <w:r>
        <w:rPr>
          <w:b/>
        </w:rPr>
        <w:t>E. 5.2</w:t>
      </w:r>
    </w:p>
    <w:p>
      <w:r>
        <w:t>Ciò sancito, va da ultimo ancora sottolineato che le persone menzionate nella documentazione bancaria sono protette dal principio della specialità di cui all'art. 27 cpv. 2 CDI CH-IT, precisato dalla giurisprudenza del Tribunale federale (cfr. consid. 3.5 del presente giudizio). Fino a poco tempo fa (vedasi il comunicato stampa congiunto della Segreteria di Stato per le questioni finanziarie internazionali [SFI] e dell'AFC del 22 marzo 2024, pubblicato su: &lt; https://www.sif.admin.ch/it/commento-articolo-26-scambio-informazioni-modello-convenzione-fiscale , consultato il 14.03.2025), vi erano differenti concezioni in merito alla portata del principio di specialità, sia sul piano nazionale che internazionale, in particolare per quanto concerne la sua componente personale. Per tale ragione, veniva dunque considerato opportuno che l'autorità inferiore informasse, caso per caso, espressamente l'autorità richiedente italiana in merito alle restrizioni relative all'uso delle informazioni a essa trasmesse (cfr. consid. 3.5 del presente giudizio; parimenti sentenza del TAF A-5309/2019 del 3 dicembre 2020 consid. 5.6). Nel caso in esame, poiché la decisione finale è stata emessa prima dell'annunciato cambiamento di prassi, è dunque opportuno - per motivi di uguaglianza di trattamento - che l'autorità inferiore precisi e riferisca all'autorità richiedente italiana quanto sancito al punto n. 2 del dispositivo del presente giudizio (cfr. [tra le tante] sentenza del TAF A-3203/2022 del 13 maggio 2024 consid. 6.2).</w:t>
      </w:r>
    </w:p>
    <w:p>
      <w:r>
        <w:rPr>
          <w:b/>
        </w:rPr>
        <w:t>E. 5.3</w:t>
      </w:r>
    </w:p>
    <w:p>
      <w:r>
        <w:t>In definitiva, la decisione impugnata va dunque confermata e il ricorso del ricorrente integralmente respinto, con le precisazioni all'attenzione dell'autorità inferiore di cui al consid. 5.2 circa il principio di specialità.</w:t>
      </w:r>
    </w:p>
    <w:p>
      <w:r>
        <w:rPr>
          <w:b/>
        </w:rPr>
        <w:t>E. 6</w:t>
      </w:r>
    </w:p>
    <w:p>
      <w:r>
        <w:t>In considerazione dell'esito della lite, giusta l'art. 63 cpv. 1 PA, le spese di procedura sono poste a carico del ricorrente qui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lui versato a suo tempo. Non vi sono poi i presupposti per l'assegnazione al ricorrente di indennità a titolo di spese ripetibili (cfr. art. 64 cpv. 1 PA a contrario, rispettivamente art. 7 cpv. 1 TS-TAF a contrario).</w:t>
      </w:r>
    </w:p>
    <w:p>
      <w:r>
        <w:rPr>
          <w:b/>
        </w:rPr>
        <w:t>E. 7</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