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A-211/2016 vom 7. Juli 2016</w:t>
      </w:r>
    </w:p>
    <w:p>
      <w:r>
        <w:t>Bundesverwaltungsgericht, 2016-07-07, DE</w:t>
      </w:r>
    </w:p>
    <w:p>
      <w:r>
        <w:rPr>
          <w:b/>
        </w:rPr>
        <w:t xml:space="preserve">Quelle: </w:t>
      </w:r>
      <w:r>
        <w:t>https://mcp.opencaselaw.ch/entscheid/bvger_A-211_2016</w:t>
      </w:r>
    </w:p>
    <w:p>
      <w:r>
        <w:t>FR: TAF A-211/2016 du 7 juillet 2016</w:t>
      </w:r>
    </w:p>
    <w:p>
      <w:r>
        <w:t>IT: TAF A-211/2016 del 7 luglio 2016</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OZD betreffend Amtshilfe gestützt auf Art. 15 ff.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Interessen beeinträchtigen (Betrugsbekämpfungsabkommen [BBA, SR 0.351.926.81]) zuständig (Art. 31 und 33 Bst. d VGG; Art. 115i Abs. 3 ZG; dazu und zur Abgrenzung von Amts- und Rechtshilfe im Bereich des BBA ausführlich: Urteil des BVGer A-1735/2011 vom 21. Dezember 2011 E. 1.1 mit zahlreichen Hinweisen; ferner Urteil des BVGer A-1531/2015 vom 26. Juni 2015 E. 1.4 ff.). Das Verfahren richtet sich nach den Vorschriften des VwVG, soweit das VGG nichts anderes bestimmt (Art. 37 VGG). Der Beschwerdeführer ist als Adressat der angefochtenen Verfügung zur Beschwerdeerhebung legitimiert (Art. 48 VwVG; Art. 115i Abs. 3 ZG) und hat die Beschwerde frist- und formgerecht eingereicht (Art. 50 und 52 VwVG). Auf die Beschwerde ist einzutreten.</w:t>
      </w:r>
    </w:p>
    <w:p>
      <w:r>
        <w:rPr>
          <w:b/>
        </w:rPr>
        <w:t>E. 2.1</w:t>
      </w:r>
    </w:p>
    <w:p>
      <w:r>
        <w:t>Grundlage der hier angefochtenen Schlussverfügung der OZD bildet das Amtshilfe- bzw. Ermittlungsersuchen der ZFA Stuttgart vom 17. April 2015, welches sich auf Art. 15 BBA stützt. Gemäss Art. 15 Abs. 1 BBA werden von der ersuchten Vertragspartei (hier: Schweiz) auf Ersuchen der ersuchenden Vertragspartei (hier: Deutschland) zweckdienliche Ermittlungen über Vorgänge oder Verhaltensweisen durchgeführt oder veranlasst, die rechtswidrige Handlungen im Sinne des BBA darstellen oder die bei der ersuchenden Behörde den begründeten Verdacht erwecken, dass solche rechtswidrige Handlungen begangen worden sind.</w:t>
      </w:r>
    </w:p>
    <w:p>
      <w:r>
        <w:rPr>
          <w:b/>
        </w:rPr>
        <w:t>E. 2.2</w:t>
      </w:r>
    </w:p>
    <w:p>
      <w:r>
        <w:t>Im Bereich der internationalen Amtshilfe in Steuersachen hat das Bundesverwaltungsgericht mehrfach entschieden, dass die Einstellung des im ersuchenden Staat geführten Steuerverfahrens grundsätzlich das Interesse der ersuchenden Behörde an ihrem Gesuch dahinfallen und die Amtshilfe mangels voraussichtlicher Erheblichkeit der Informationen bzw. wegen Unverhältnismässigkeit als unzulässig erscheinen lasse (vgl. Urteile des BVGer A-6099/2014 vom 27. November 2015 E. 2.7, A-7343/2014 vom 1. April 2015 E. 3, A 6600/2014 vom 20. März 2015 E. 6). Im Gegensatz zu diversen Doppelbesteuerungsabkommen (DBA), welche regelmässig Rechtsgrundlage der Amtshilfe in Steuersachen bilden, erwähnt das BBA das Kriterium der voraussichtlichen Erheblichkeit der Information nicht explizit. Dennoch wird in Art. 15 Abs. 1 BBA der allgemeine Verhältnismässigkeitsgrundsatz präzisiert, indem die Amtshilfe auf "zweckdienliche" Ermittlungen, d.h. solche die der Aufklärung und Verfolgung von rechtswidrigen Handlungen im Sinne des BBA dienen, beschränkt ist. Zudem sieht der hier anwendbare Art. 155h ZG, der das ordentliche (innerstaatliche) Verfahren der internationalen Amtshilfe im Bereich der Zölle regelt, in Abs. 2 vor, dass Informationen, Unterlagen, Gegenstände oder Vermögenswerte, die voraussichtlich nicht erheblich sind, nicht übermittelt werden dürfen. Es besteht somit kein Grund für das Bundesverwaltungsgericht, die erwähnte Rechtsprechung nicht auch im Bereich des BBA analog heranzuziehen.</w:t>
      </w:r>
    </w:p>
    <w:p>
      <w:r>
        <w:rPr>
          <w:b/>
        </w:rPr>
        <w:t>E. 3</w:t>
      </w:r>
    </w:p>
    <w:p>
      <w:r>
        <w:t>Im vorliegenden Fall ist unbestritten und durch das von der Vorinstanz eingereichte Originalschreiben der ZFA Stuttgart vom 7. Juni 2016 hinreichend belegt, dass die ersuchende Behörde ihr Amtshilfegesuch vom 17. April 2015 sowie ihr ergänzendes Ersuchen vom 11. April 2016 (welches dem Bundesverwaltungsgericht nicht vorliegt) zurückgezogen hat. Wie dem Schreiben zudem zu entnehmen ist, erfolgte der Rückzug nach Rücksprache mit der Staatsanwaltschaft Koblenz. Dies legt zwar den Schluss nahe, dass das dem Amtshilfeersuchen zugrunde liegende Strafverfahren gegen den Beschwerdeführer nicht weiter geführt wird, vermag diesen Umstand indessen nicht rechtsgenügend zu beweisen. Ob aber das Strafverfahren letztlich eingestellt wird oder nicht, ist vorliegend nicht entscheidend. Denn indem die ZFA Stuttgart ihr Amtshilfeersuchen offiziell zurückzieht, fehlt es bereits an dem von Art. 15 Abs. 1 BBA verlangten Ersuchen. Zudem bringt die ZFA Stuttgart mit ihrem Rückzugsschreiben klar zum Ausdruck, dass sie die beantragten Ermittlungshandlungen und Informationen als nicht mehr zweckdienlich bzw. erheblich erachtet. Zusammengefasst erweist sich die von der Vorinstanz im Sinne der angefochtenen Schlussverfügung beabsichtigte Amtshilfeleistung als unzulässig.</w:t>
      </w:r>
    </w:p>
    <w:p>
      <w:r>
        <w:rPr>
          <w:b/>
        </w:rPr>
        <w:t>E. 4</w:t>
      </w:r>
    </w:p>
    <w:p>
      <w:r>
        <w:t>Nach dem Gesagten darf vorliegend keine Amtshilfe geleistet werden. Die Beschwerde ist somit gutzuheissen und die angefochtene Schlussverfügung ist aufzuheben. Bei diesem Ergebnis erübrigt es sich, die bisher noch nicht behandelten Verfahrensanträge zu prüfen. Was die von der Vorinstanz beantragte Abschreibung des Beschwerdeverfahrens infolge Gegenstandslosigkeit betrifft, ist Folgendes anzumerken: Die Gegenstandslosigkeit des Verfahrens hätte im konkreten Fall eine verfügungsweise vollumfängliche Wiedererwägung der angefochtenen Schlussverfügung durch die Vorinstanz und deren unverzügliche Eröffnung an die Parteien und Mitteilung an die Beschwerdeinstanz vorausgesetzt (vgl. Art. 58 Abs. 1 und 2 VwVG). Dies ist vorliegend nicht geschehen. Auch hat die Vorinstanz dem Bundesverwaltungsgericht eine entsprechende Absicht nicht eindeutig kundgetan. Eine Verfahrenserledigung durch Abschreibung kommt damit nicht in Betracht.</w:t>
      </w:r>
    </w:p>
    <w:p>
      <w:r>
        <w:rPr>
          <w:b/>
        </w:rPr>
        <w:t>E. 5.1</w:t>
      </w:r>
    </w:p>
    <w:p>
      <w:r>
        <w:t>Die Verfahrenskosten werden auf Fr. 5'000.-- (vgl. Art. 2 Abs. 1 i.V.m. Art. 4 des Reglements vom 21. Februar 2008 über die Kosten und Entschädigungen vor dem Bundesverwaltungsgericht [VGKE; SR 173.320.2]) festgesetzt. Bei diesem Verfahrensausgang sind jedoch weder dem Beschwerdeführer noch der Vorinstanz Verfahrenskosten aufzuerlegen (Art. 63 Abs. 1 e contrario und Abs. 2 VwVG). Dementsprechend ist dem Beschwerdeführer der einbezahlte Kostenvorschuss in der Höhe von Fr. 5'000.-- zurückzuerstatten.</w:t>
      </w:r>
    </w:p>
    <w:p>
      <w:r>
        <w:rPr>
          <w:b/>
        </w:rPr>
        <w:t>E. 5.2</w:t>
      </w:r>
    </w:p>
    <w:p>
      <w:r>
        <w:t>Der obsiegende, anwaltlich vertretene Beschwerdeführer hat gemäss Art. 64 Abs. 1 und 2 VwVG i.V.m. Art. 7 ff. VGKE Anspruch auf eine Parteientschädigung. Da der Vertreter des Beschwerdeführers dem Bundesverwaltungsgericht keine Kostennote eingereicht hat, ist die Parteientschädigung vorliegend aufgrund der Akten praxisgemäss auf Fr. 7'500.-- (inkl. Mehrwertsteuerzuschlag im Sinn von Art. 9 Abs. 1 Bst. c VGKE) festzusetzen (vgl. Art. 14 Abs. 2 VGKE).</w:t>
      </w:r>
    </w:p>
    <w:p>
      <w:r>
        <w:rPr>
          <w:b/>
        </w:rPr>
        <w:t>E. 6</w:t>
      </w:r>
    </w:p>
    <w:p>
      <w:r>
        <w:t>Das Bundesverwaltungsgericht entscheidet auf dem Gebiet der internationalen Amtshilfe im Bereich der Zölle und der Mehrwertsteuer endgültig, wenn die Amtshilfe - wie vorliegend - ihre völkerrechtliche Grundlage im BBA hat (Art. 115i Abs. 3 ZG, Art. 75a Abs. 2 MWSTG i.V.m. Art. 115i Abs. 3 ZG; vgl. Botschaft StAhiG, BBl 2011 6193 ff., 6228; vgl. Beusch/Imstepf, Kommentar MWSTG, Art. 75a MWSTG, N. 5, 12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