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A-2110/2022 vom 25. März 2025</w:t>
      </w:r>
    </w:p>
    <w:p>
      <w:r>
        <w:t>Bundesverwaltungsgericht, 2025-03-25, IT</w:t>
      </w:r>
    </w:p>
    <w:p>
      <w:r>
        <w:rPr>
          <w:b/>
        </w:rPr>
        <w:t xml:space="preserve">Quelle: </w:t>
      </w:r>
      <w:r>
        <w:t>https://mcp.opencaselaw.ch/entscheid/bvger_A-2110_2022</w:t>
      </w:r>
    </w:p>
    <w:p>
      <w:r>
        <w:t>FR: TAF A-2110/2022 du 25 mars 2025</w:t>
      </w:r>
    </w:p>
    <w:p>
      <w:r>
        <w:t>IT: TAF A-2110/2022 del 25 marzo 2025</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LAAF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6 aprile 2022 dell'autorità inferiore, con cui quest'ultima ha accolto la domanda raggruppata italiana di assistenza amministrativa del 23 novembre 2018, per quanto concerne la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della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la ricorrente contesta la legittimità della domanda di assistenza amministrativa italiana del 23 novembre 2018, in correlazione alla lettera 3 febbraio 2014 ivi allegata. A suo avviso non si tratterebbe di sapere se la lettera 20 febbraio 2015 abbia rimpiazzato/sostituito la lettera 3 febbraio 2014, ma se la predetta domanda violi l'art. 7 lett. c LAAF e se i fatti giuridicamente rilevanti sono stati accertati dall'autorità inferiore in maniera esatta e completa, in correlazione alla lettera 3 febbraio 2014. A mente della ricorrente, l'illegittimità (nella sua autenticità e/o nella sua fonte) della lettera 3 febbraio 2014 sarebbe evidente. Allo stato attuale della procedura, non si saprebbe se il documento sia stato allestito ad arte e quindi sia un falso materiale oppure se si sia stato ottenuto illecitamente dalla stampa e/o dall'autorità richiedente italiana. L'unica certezza sarebbe che la lettera 3 febbraio 2014 non sarebbe mai stata inviata ai clienti della banca, né nel 2014 né successivamente come certificato dal Rapporto KPMG. Pertanto tale lettera non potrebbe trovarsi in un incarto clienti né tantomeno in un incarto di « Voluntary Disclosure », come, a memoria dell'autorità inferiore dichiarato dall'autorità richiedente italiana. In tale contesto, non solo l'autorità inferiore avrebbe omesso d'amministrare le prove in rapporto alla lettera 3 febbraio 2014, ma pure il suo accertamento sarebbe inesatto e incompleto sotto vari aspetti, da lei precisati nel suo gravame (cfr. ricorso 6 maggio 2022, punti n. 27 - 71). Sennonché tali censure non possono che essere qui respinte. Gli argomenti sollevati dalla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In particolare, come visto, il Tribunale federale ha già avuto modo di esprimersi in merito alle due lettere 3 febbraio 2014 e 20 febbraio 2015, giungendo alla conclusione che la lettera 20 febbraio 2015 è idonea a fondare il modello di comportamento alla base della domanda raggruppata (cfr. considd. 4.2.1.2-4.2.1.3 e 4.2.2 del presente giudizio). Riguardo alla lettera 3 febbraio 2014, il Tribunale federale ha precisato che la sua menzione nella domanda raggruppata non ha alcuna influenza sulla sua ammissibilità, ciò quand'anche non vi sia la prova ch'essa sia stata notificata ai clienti della banca. Quanto alla sua provenienza, l'Alta Corte ne ha escluso la natura illecita ai sensi dell'art. 7 lett. c LAAF. In tale contesto, lo scrivente Tribunale non ha alcuna ragione di indagare circa la sua provenienza, ciò anche alla luce degli argomenti della ricorrente. Le censure ricorsuali circa la dubbia provenienza della lettera 3 febbraio 2014 non sono pertanto qui rilevanti.</w:t>
      </w:r>
    </w:p>
    <w:p>
      <w:r>
        <w:rPr>
          <w:b/>
        </w:rPr>
        <w:t>E. 4.4</w:t>
      </w:r>
    </w:p>
    <w:p>
      <w:r>
        <w:t>Constatata l'ammissibilità della domanda raggruppata italiana di assistenza amministrativa del 23 novembre 2018, occorre ancora stabilire se la ricorrente rientri o meno nel modello di comportamento (lecitamente) ivi descritto dall'autorità richiedente italiana. A tal proposito, il Tribunale rileva come, da un esame degli atti dell'incarto - e meglio dalla documentazione fornita dalla banca B._______/C._______ (cfr. atto n. 18.2 dell'incarto prodotto dall'autorità inferiore su chiave USB [di seguito: inc. AFC], pag. 1) -, risulti chiaramente che durante il periodo interessato dalla predetta domanda raggruppata, la ricorrente era titolare di un conto bancario presso la banca B._______/C._______. È poi verosimile ch'essa abbia ricevuto la lettera 20 febbraio 2015 della predetta banca (cfr. atto n. 18.2 dell'inc. AFC, pag. 5). Dalla documentazione bancaria risulta infatti ch'essa si sia recata a più riprese in banca, il 2 luglio 2015 e il 20 luglio 2015, in occasione delle quali la stessa è stata invitata dal consulente bancario ad aderire alla « Voluntary Disclosure », decidendo però invece di trasferire il proprio conto bancario presso un'altra banca in Slovacchia (cfr. atto n. 18.2 dell'inc. AFC, pag. 6). In tali circostanze, vi è motivo di presumere ch'essa abbia avuto conoscenza di detto scritto. Secondo quanto giustamente indicato dall'autorità inferiore (cfr. decisione impugnata, considd. 8.3-8.5), la ricorrente non ha reagito a detta lettera comprovando la sua conformità fiscale, sicché la stessa rientra nel modello di comportamento descritto nella domanda raggruppata. In tali circostanze, nel suo caso la trasmissione delle informazioni risulta dunque ammissibile.</w:t>
      </w:r>
    </w:p>
    <w:p>
      <w:r>
        <w:rPr>
          <w:b/>
        </w:rPr>
        <w:t>E. 5.1</w:t>
      </w:r>
    </w:p>
    <w:p>
      <w:r>
        <w:t>In conclusione, lo scrivente Tribunale deve constatare che la domanda raggruppata italiana di assistenza amministrativa del 23 novembre 2018 adempie tutti i requisiti formali e materiali alla base della sua ammissibilità. Nella misura in cui la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dalla ricorrente nel suo gravame.</w:t>
      </w:r>
    </w:p>
    <w:p>
      <w:r>
        <w:rPr>
          <w:b/>
        </w:rPr>
        <w:t>E. 5.2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&lt; https://www.sif.admin.ch/it/commento-articolo-26-scambio-informazioni-modello-convenzione-fiscale , consultato il 14.03.2025),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 (cfr. [tra le tante] sentenza del TAF A-3203/2022 del 13 maggio 2024 consid. 6.2).</w:t>
      </w:r>
    </w:p>
    <w:p>
      <w:r>
        <w:rPr>
          <w:b/>
        </w:rPr>
        <w:t>E. 5.3</w:t>
      </w:r>
    </w:p>
    <w:p>
      <w:r>
        <w:t>In definitiva, la decisione impugnata va dunque confermata e il ricorso della ricorrente integralmente respinto, con le precisazioni all'attenzione dell'autorità inferiore di cui al consid. 5.2 circa il principio di specialità.</w:t>
      </w:r>
    </w:p>
    <w:p>
      <w:r>
        <w:rPr>
          <w:b/>
        </w:rPr>
        <w:t>E. 6</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lei versato a suo tempo. Non vi sono poi i presupposti per l'assegnazione alla ricorrente di indennità a titolo di spese ripetibili (cfr. art. 64 cpv. 1 PA a contrario, rispettivamente art. 7 cpv. 1 TS-TAF a contrario).</w:t>
      </w:r>
    </w:p>
    <w:p>
      <w:r>
        <w:rPr>
          <w:b/>
        </w:rPr>
        <w:t>E. 7</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