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A-2106/2018 vom 31. Dezember 2018</w:t>
      </w:r>
    </w:p>
    <w:p>
      <w:r>
        <w:t>Bundesverwaltungsgericht, 2018-12-31, DE</w:t>
      </w:r>
    </w:p>
    <w:p>
      <w:r>
        <w:rPr>
          <w:b/>
        </w:rPr>
        <w:t xml:space="preserve">Quelle: </w:t>
      </w:r>
      <w:r>
        <w:t>https://mcp.opencaselaw.ch/entscheid/bvger_A-2106_2018</w:t>
      </w:r>
    </w:p>
    <w:p>
      <w:r>
        <w:t>FR: TAF A-2106/2018 du 31 décembre 2018</w:t>
      </w:r>
    </w:p>
    <w:p>
      <w:r>
        <w:t>IT: TAF A-2106/2018 del 31 dicembre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 von Art. 5 VwVG. Die OZD ist zudem eine Vorinstanz des Bundes-verwaltungsgerichts (vgl. Art. 33 VGG). Dieses ist daher für die Beurteilung der vorliegenden Beschwerde zuständig (vgl. auch Art. 116 Abs. 4 des Zoll-gesetzes vom 18. März 2005 [ZG, SR 631.0]). Das Verfahren richtet sich -soweit das VGG nichts anderes bestimmt - nach den Vorschriften des VwVG (Art. 37 VGG).</w:t>
      </w:r>
    </w:p>
    <w:p>
      <w:r>
        <w:rPr>
          <w:b/>
        </w:rPr>
        <w:t>E. 1.2</w:t>
      </w:r>
    </w:p>
    <w:p>
      <w:r>
        <w:t>Der Beschwerdeführer ist Adressat des angefochtenen Entscheids und zur Beschwerdeerhebung legitimiert (Art. 48 Abs. 1 VwVG). Die Beschwerde wurde zudem form- und fristgerecht eingereicht (vgl. Art. 50 Abs. 1 sowie Art. 52 Abs. 1 VwVG).</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1.4.1</w:t>
      </w:r>
    </w:p>
    <w:p>
      <w:r>
        <w:t>Im Beschwerdeverfahren gelten die Untersuchungsmaxime, wonach der Sachverhalt von Amtes wegen festzustellen ist, und der Grundsatz der Rechtsanwendung von Amtes wegen (vgl. Art. 62 Abs. 4 VwVG; anstelle vieler: Urteil des Bundesverwaltungsgerichts A-7871/2015 vom 10. No-vember 2016 E. 1.2.1 m.H.).</w:t>
      </w:r>
    </w:p>
    <w:p>
      <w:r>
        <w:rPr>
          <w:b/>
        </w:rPr>
        <w:t>E. 1.4.2.1</w:t>
      </w:r>
    </w:p>
    <w:p>
      <w:r>
        <w:t>Im öffentlichen Verfahrensrecht ist - anders als dies regelmässig im Zivilprozess der Fall ist - nach der Untersuchungsmaxime (vgl. E. 1.4.1) die materielle Wahrheit zu erforschen. Das Bundesverwaltungsgericht darf also nicht allein und unbesehen auf die Vorbringen der Verfahrensbeteiligten abstellen. Bedeutsame Tatsachen sind deshalb auch dann zu berücksichtigen, wenn sie seitens der Verfahrensbeteiligten nicht vorgebracht wurden. Ebenso ist über unbestrittene Tatsachen Beweis zu führen, wenn es Anlass gibt, an deren Richtigkeit zu zweifeln (siehe zum Ganzen René Rhinow et al., Öffentliches Prozessrecht, 3. Aufl. 2014, N. 1211). Der Untersuchungsgrundsatz erfährt jedoch durch die Mitwirkungspflicht der Verfahrensparteien eine Einschränkung. Die Mitwirkungspflicht gilt naturgemäss gerade für solche Tatsachen, welche eine Partei besser kennt als das Bundesverwaltungsgericht und welche dieses ohne Mitwirkung der Partei gar nicht oder nicht mit vernünftigem Aufwand erheben könnte (Urteil des BVGer A-7215/2014 vom 2. September 2015 E. 2.6; André Moser/Michael Beusch/Lorenz Kneubühler, Prozessieren vor dem Bundesverwaltungsgericht, 2. Aufl. 2013, N. 1.49 ff.).</w:t>
      </w:r>
    </w:p>
    <w:p>
      <w:r>
        <w:rPr>
          <w:b/>
        </w:rPr>
        <w:t>E. 1.4.2.2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A-1679/2015 vom 24. Mai 2016 E. 3.2; Moser/Beusch/Kneubühler, a.a.O., N. 3.140). Expertisen, die von einer Partei eingeholt und in das Verfahren als Beweismittel eingebracht werden (Partei- oder Privatgutachten), darf der Beweiswert nicht schon deshalb abgesprochen werden, weil sie von einer Partei stammen (vgl. BGE 137 II 270 E. 3.2; BVGE 2013/9 E. 3.8.1). Auch sie enthalten Äusserungen einer sachverständigen Person, welche zur Feststellung eines rechtserheblichen Sachverhalts beweismässig beitragen können. Allerdings kommt einem von einer Prozesspartei eingereichten Gutachten gegenüber einer gerichtlich eingeholten Expertise ein geringerer Beweiswert zu, weil Ersteres nicht nach den Vorgaben des VwVG erstellt worden ist (Moser/Beusch/Kneubühler, a.a.O., N. 3.147).</w:t>
      </w:r>
    </w:p>
    <w:p>
      <w:r>
        <w:rPr>
          <w:b/>
        </w:rPr>
        <w:t>E. 1.4.2.3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Moser/Beusch/Kneubühler, a.a.O., N. 3.150; Rhinow et al., a.a.O., N. 997). Abgesehen von Besonderheiten, welche die Natur des im Einfuhrsteuerrecht geltenden Selbstdeklarationsprinzips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133 II 153 E. 4.3; Urteil des BGer 2C_837/2015 vom 23. August 2016 E. 5; ferner Urteil des BVGer A-917/2014 vom 25. November 2015 E. 1.4, 3.2.4 betreffend Übersiedlungsgut).</w:t>
      </w:r>
    </w:p>
    <w:p>
      <w:r>
        <w:rPr>
          <w:b/>
        </w:rPr>
        <w:t>E. 1.4.3</w:t>
      </w:r>
    </w:p>
    <w:p>
      <w:r>
        <w:t>Nach dem Grundsatz der Rechtsanwendung von Amtes wegen (vgl. E. 1.4.1)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Verweisung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1.5</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A-5198/2016 vom 5. April 2017 E. 2.3, A-1865/2016 vom 14. Dezember 2016 E. 5, A-5060/2014 vom 18. Juni 2015 E. 6.1; Moser/Beusch/Kneubühler, a.a.O., N. 3.194).</w:t>
      </w:r>
    </w:p>
    <w:p>
      <w:r>
        <w:rPr>
          <w:b/>
        </w:rPr>
        <w:t>E. 2.1</w:t>
      </w:r>
    </w:p>
    <w:p>
      <w:r>
        <w:t>Für die Einfuhrsteuer gilt die Zollgesetzgebung, soweit die Bestimmungen des Bundesgesetzes vom 12. Juni 2009 über die Mehrwertsteuer (MWSTG, SR 641.20) nichts anderes anordnen (Art. 50 MWSTG).</w:t>
      </w:r>
    </w:p>
    <w:p>
      <w:r>
        <w:rPr>
          <w:b/>
        </w:rPr>
        <w:t>E. 2.2</w:t>
      </w:r>
    </w:p>
    <w:p>
      <w:r>
        <w:t>Waren, die ins schweizerische Zollgebiet verbracht werden, sind grundsätzlich zollpflichtig und nach dem Zollgesetz vom 18. März 2005 (ZG, SR 631.0) sowie nach dem Zolltarifgesetz vom 9. Oktober 1986 (ZTG, SR 632.10) zu veranlagen (Art. 7 ZG). Solche Einfuhren von Gegenständen unterliegen zudem der Einfuhrsteuer (Art. 50 ff. MWSTG). Unter den Begriff der Einfuhr fällt grundsätzlich jedes Verbringen von Gegenständen ins Zollgebiet (vgl. Urteil des BVGer A-2675/2016 vom 25. Oktober 2016 E. 2.3.3). Für das Auslösen der Steuer genügt es, dass der Gegenstand über die Zollgrenze verbracht wird. Ein (entgeltliches) Umsatzgeschäft ist nicht erforderlich (vgl. anstelle vieler: Urteil des BVGer A-825/2016 vom 10. November 2016 E. 4.2). Vorbehalten bleiben Zoll- und Steuerbefreiungen, die sich aus besonderen Bestimmungen von Gesetzen und Verordnungen oder Staatsverträgen ergeben (vgl. Art. 53 MWSTG).</w:t>
      </w:r>
    </w:p>
    <w:p>
      <w:r>
        <w:rPr>
          <w:b/>
        </w:rPr>
        <w:t>E. 2.3</w:t>
      </w:r>
    </w:p>
    <w:p>
      <w:r>
        <w:t>Für das vorliegende Verfahren genügt es, Folgendes zu den Zolltarifen bzw. Zolltarifnummern festzuhalten (E. 2.3.1 - 2.3.5):</w:t>
      </w:r>
    </w:p>
    <w:p>
      <w:r>
        <w:rPr>
          <w:b/>
        </w:rPr>
        <w:t>E. 2.3.1</w:t>
      </w:r>
    </w:p>
    <w:p>
      <w:r>
        <w:t>Gemäss Art. 1 ZTG sind alle Waren, die über die schweizerische Zollgrenze ein- und ausgeführt werden, nach dem Generaltarif zu verzollen, welcher in den Anhängen 1 und 2 des ZTG enthalten ist.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HS-Übereinkommen sowie über die Anpassung des schweizerischen Zolltarifs, BBl 1985 III 357, S. 377 f.; vgl. zum Ganzen: Urteile des BVGer A-3030/2013 vom 8. Mai 2014 E. 2.1.1 und A-5558/2013 vom 4. April 2014 E. 2.1.2 mit zahlreichen weiteren Hinweisen).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(THOMAS COTTIER/DAVID HERREN, in: Kocher/Clavadetscher [Hrsg.], Zollgesetz, 2009, Einleitung Rz. 103).</w:t>
      </w:r>
    </w:p>
    <w:p>
      <w:r>
        <w:rPr>
          <w:b/>
        </w:rPr>
        <w:t>E. 2.3.2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Urteil des BGer 2C_436/2015 vom 22. Juli 2016 E. 5; Urteile des BVGer A-3030/2013 vom 8. Mai 2014 E. 2.1.2 und A-5558/2013 vom 4. April 2014 E. 2.1.3 mit weiteren Hinweisen; Michael Beusch/Monique Schnell Luchsinger, Wie harmonisiert ist das Harmonisierte System wirklich? in: Zollrevue, 1/2017 S. 12 ff., 12; Cottier/Herren, a.a.O., Einleitung Rz. 96 ff.).</w:t>
      </w:r>
    </w:p>
    <w:p>
      <w:r>
        <w:rPr>
          <w:b/>
        </w:rPr>
        <w:t>E. 2.3.3</w:t>
      </w:r>
    </w:p>
    <w:p>
      <w:r>
        <w:t>Die Vertragsstaaten des HS-Übereinkommens (E. 2.3.1)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verpflichtet, die allgemeinen Vorschriften für die Auslegung des Harmonisierten Systems (vgl. nachfolgend E. 2.3.5)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Urteil des BVGer A-3030/2013 vom 8. Mai 2014 E. 2.2.1 m.w.H.).</w:t>
      </w:r>
    </w:p>
    <w:p>
      <w:r>
        <w:rPr>
          <w:b/>
        </w:rPr>
        <w:t>E. 2.3.4</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 des BVGer A-5558/2013 vom 4. April 2014 E. 2.2.2 mit zahlreichen weiteren Hinweisen; vgl. auch Remo Arpagaus, Zollrecht, in: Koller/Müller/Tanquerel/Zimmerli [Hrsg.], Schweizerisches Bundesverwaltungsrecht, Band XII, 2. Aufl., 2007, Rz. 578).</w:t>
      </w:r>
    </w:p>
    <w:p>
      <w:r>
        <w:rPr>
          <w:b/>
        </w:rPr>
        <w:t>E. 2.3.5</w:t>
      </w:r>
    </w:p>
    <w:p>
      <w:r>
        <w:t>Die Vertragsstaaten des HS-Übereinkommens beabsichtigen eine einheitliche Auslegung der völkerrechtlich festgelegten Nomenklatur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 - c i.V.m.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Urteil des BVGer A-7486/2016 vom 14. Dezember 2017 E. 3.2).</w:t>
      </w:r>
    </w:p>
    <w:p>
      <w:r>
        <w:rPr>
          <w:b/>
        </w:rPr>
        <w:t>E. 2.4</w:t>
      </w:r>
    </w:p>
    <w:p>
      <w:r>
        <w:t>Eine Ausnahme von der Einfuhrsteuerpflicht ergibt sich aus der Kompetenz des Bundesrates, vom MWSTG abweichende Bestimmungen beispielsweise über die Besteuerung der Einfuhr von Münz- und Feingold zu erlassen (Art. 107 Abs. 2 MWSTG). So bestimmt der Bundesrat in Art. 113 Bst. g MWSTV, dass Münz-und Feingold nach Art. 44 MWSTV von der Einfuhrsteuer befreit ist. Hier von Interesse ist namentlich Art. 44 Abs. 1 Bst. a MWSTV, wonach staatlich geprägte Goldmünzen der Zolltarifnummern 7118.9010 und 9705.0000 von der Steuer befreit sind.</w:t>
      </w:r>
    </w:p>
    <w:p>
      <w:r>
        <w:rPr>
          <w:b/>
        </w:rPr>
        <w:t>E. 2.4.1</w:t>
      </w:r>
    </w:p>
    <w:p>
      <w:r>
        <w:t>Unter einer Münze ist ein als Geld dienendes, vom Staat durch Stempelung, Gewicht und Gehalt garantiertes Stück Metall zu verstehen (Friedrich Freiherr von Schrötter, Wörterbuch der Münzkunde, 2. Aufl. 1970, S. 415). Ein Staat wiederum zeichnet sich durch das Vorliegen von Staatsvolk, Staatsgebiet sowie autonomer und effektiver Staatsgewalt (Regierung) aus (Ignaz Seidl-Hohenveldern, Völkerrecht, 3. Aufl. 2001, S. 380 f.).</w:t>
      </w:r>
    </w:p>
    <w:p>
      <w:r>
        <w:rPr>
          <w:b/>
        </w:rPr>
        <w:t>E. 2.4.2</w:t>
      </w:r>
    </w:p>
    <w:p>
      <w:r>
        <w:t>Unter Goldmünzen der Zolltarifnummern 7118.9010 und 9705.0000 ist sodann Folgendes zu verstehen.</w:t>
      </w:r>
    </w:p>
    <w:p>
      <w:r>
        <w:rPr>
          <w:b/>
        </w:rPr>
        <w:t>E. 2.4.2.1</w:t>
      </w:r>
    </w:p>
    <w:p>
      <w:r>
        <w:t>Dem schweizerischen Gebrauchstarif lässt sich aus dem Abschnitt XIV "Echte Perlen oder Zuchtperlen, Edelsteine, Schmucksteine oder dergleichen, Edelmetalle, Edelmetallplattierungen und Waren daraus; Phantasieschmuck; Münzen» Folgendes zur Zolltarifnummer 7118.9010 entnehmen: 71Echte Perlen oder Zuchtperlen, Edelsteine, Schmucksteine oder dergleichen, Edelmetalle, Edelmetallplattierungen und Waren daraus; Phantasieschmuck; Münzen [...] 7118Münzen: 7118.1000- Münzen (ausgenommen Goldmünzen), andere als gesetzliche Zahlungsmittel - andere: 7118.9010-- aus Gold oder Platin 7118.9020-- aus Silber 7118.9030-- aus unedlen Metallen Gemäss den Erläuterungen zur Tarifnummer 7118 umfasst diese Metallmünzen (einschliesslich derjenigen aus Edelmetallen), welche vom Staat ausgegeben sind, ein streng kontrolliertes Gewicht haben, in erhabener Prägung Abbildungen und Inschriften mit offiziellem Charakter tragen und gesetzliche Zahlungsmittel sind. Einzelne Münzen oder Münzserien, die im Ausgabeland gesetzliche Zahlungsmittel sind, gehören zu dieser Nummer, auch wenn diese Münzen für den allgemeinen Verkauf in besonderen Aufmachungen angeboten werden. Diese Nummer umfasst auch Münzen, die in dem Land, in dem sie ausgegeben wurden, ausser Kurs gesetzt sind. Dagegen gehören Münzen, die den Charakter von Sammlungsstücken haben, zu Nr. 9705 (vgl. die entsprechende Erläuterung).</w:t>
      </w:r>
    </w:p>
    <w:p>
      <w:r>
        <w:rPr>
          <w:b/>
        </w:rPr>
        <w:t>E. 2.4.2.2</w:t>
      </w:r>
    </w:p>
    <w:p>
      <w:r>
        <w:t>Weiter ist dem schweizerischen Gebrauchstarif im Abschnitt XXI "Kunstgegenstände, Sammlungsstücke und Antiquitäten» Folgendes zur Zolltarifnummer 9705.0000 entnehmen: 97Kunstgegenstände, Sammlungsstücke und Antiquitäten [...] 9705.0000Sammlungen oder Sammlungsstücke, zoologische, botanische, mineralogische oder anatomische oder solche von historischem, archäologischem, paläontologischem, ethnografischem oder numismatischem Wert Gemäss den Erläuterungen zur Tarifnummer 9705 gehören hierher Gegenstände, die oft nur einen verhältnismässig geringen Materialwert haben, jedoch wegen ihrer Seltenheit, ihrer Zusammenstellung oder ihrer Aufmachung von Interesse sind. Zu Sammlungen und Sammlungsstücken von münzkundlichem Wert gehören Geldmünzen, Banknoten, die nicht mehr als gesetzliche Zahlungsmittel gelten (andere als solche der Nr. 4907), und Medaillen, in Sammlungen oder als Einzelstücke gestellt; im letzteren Fall gibt es im Allgemeinen nur sehr wenige Stücke derselben Münze oder Medaille und beide müssen offensichtlich für eine Sammlung bestimmt sein. Geldmünzen und Medaillen, die keine Sammlungen oder Sammlungsstücke von münzkundlichem Wert sind (z.B. grössere Sendungen der gleichen Münze oder Medaille), gehören im Allgemeinen zu Kapitel 71. Münzen und Medaillen, die derart zerhämmert, gebogen oder in anderer Weise beschädigt sind, dass sie sich nur noch zum Einschmelzen usw. eignen, sind grundsätzlich als Schrott aus dem zu ihrer Herstellung verwendeten Metall zu tarifieren. Münzen, die im Ausgabeland kursfähig sind, gehören zu Nr. 7118, auch wenn sie besonders aufgemacht und für den Detailverkauf bestimmt sind. Münzen oder Medaillen, zu Schmuckwaren verarbeitet, gehören zu Kapitel 71 oder zu Nr. 9706. Banknoten, die nicht mehr als gesetzliche Zahlungsmittel gelten und die weder eine Sammlung bilden noch Sammlungsstücke darstellen, gehören zu Nr. 4907. Zu kommerziellen Zwecken hergestellte Erzeugnisse, welche einem Ereignis oder einer Veranstaltung gedenken, sie anpreisen oder veranschaulichen, auch wenn sie nur in beschränkter Anzahl hergestellt wurden oder nur für eine beschränkte Verbreitung bestimmt sind, gehören nicht zu dieser Nummer, die Sammlungen und Sammlungsstücke mit geschichtlichem oder münzkundlichem Wert umfasst. Sie werden jedoch hier eingereiht, wenn sie durch ihr Alter oder ihre Seltenheit selbst Sammlungswertobjekte geworden sind.</w:t>
      </w:r>
    </w:p>
    <w:p>
      <w:r>
        <w:rPr>
          <w:b/>
        </w:rPr>
        <w:t>E. 2.4.2.3</w:t>
      </w:r>
    </w:p>
    <w:p>
      <w:r>
        <w:t>Wie Goldmünzen, die der Zolltarifnummer 7118.9010 zuzuordnen sind, müssen somit auch Goldmünzen im Sinne der Zolltarifnummer 9705.0000 irgendeinmal als gesetzliche Zahlungsmittel gedient haben (vgl. Béatrice Blum, in: Zweifel/Beusch/Glauser/Robinson [Hrsg.], Kommentar zum Schweizerischen Steuerrecht, Bundesgesetz über die Mehrwertsteuer, 2015, Art. 107 N. 71). Nachgeprägte Dukaten (1-fach und 4-fach) des Kaiserreichs Österreich mit einheitlicher Jahreszahl 1915, die durch einen Staat herausgegeben wurden, im Emissionsland aber nie gesetzlichen Kurs gehabt haben, fallen demgegenüber gemäss dem diesbezüglichen Einreihungsavis unter die Tarifnummer 7114.1990.</w:t>
      </w:r>
    </w:p>
    <w:p>
      <w:r>
        <w:rPr>
          <w:b/>
        </w:rPr>
        <w:t>E. 2.4.3</w:t>
      </w:r>
    </w:p>
    <w:p>
      <w:r>
        <w:t>Grundsätzlich gilt das vom Staat für sein Währungsgebiet ausgegebene Geld (Noten und Münzen) als gesetzliches Zahlungsmittel («legal tender»). Staatliches Geld setzt allerdings ein Staatsgebilde voraus, welchem das Geldausgabemonopol zusteht und welches dieses auch durchzusetzen vermag. Der Schuldner befreit sich durch Zahlung in der gesetzlichen Währung und der Gläubiger ist verpflichtet, eine solche Zahlung anzunehmen (vgl. zum Begriff des gesetzlichen Zahlungsmittels BVGE 2013/42 E. 4.7; Frank Vischer, Geld- und Währungsrecht im nationalen und internationalen Kontext, 2010, Rz. 14).</w:t>
      </w:r>
    </w:p>
    <w:p>
      <w:r>
        <w:rPr>
          <w:b/>
        </w:rPr>
        <w:t>E. 2.5.1</w:t>
      </w:r>
    </w:p>
    <w:p>
      <w:r>
        <w:t>Gemäss Art. 12 Abs. 1 Bst. a des Bundesgesetzes vom 22. März 1974 über das Verwaltungsstrafrecht (Verwaltungsstrafrechtsgesetz, VStrR, SR 313.0) sind Abgaben, die infolge einer Widerhandlung gegen die Verwaltungsgesetzgebung des Bundes zu Unrecht nicht erhoben worden sind, ohne Rücksicht auf die Strafbarkeit einer Person nachzuentrichten. Die Mehrwertsteuergesetzgebung gehört zur Verwaltungsgesetzgebung des Bundes. Damit sind Einfuhrsteuern insbesondere dann nachträglich zu erheben, wenn die objektiven Tatbestandselemente von Art. 96 Abs. 4 Bst. a MWSTG erfüllt sind, mithin die Steuerforderung zulasten des Staates verkürzt worden ist, indem namentlich Waren bei der Einfuhr nicht oder unrichtig angemeldet worden sind (vgl. zum Ganzen anstelle vieler: Urteil des BVGer A-825/2016 vom 10. November 2016 E. 8.3).</w:t>
      </w:r>
    </w:p>
    <w:p>
      <w:r>
        <w:rPr>
          <w:b/>
        </w:rPr>
        <w:t>E. 2.5.2</w:t>
      </w:r>
    </w:p>
    <w:p>
      <w:r>
        <w:t>Zur Nachleistung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 auch bezüglich der Einfuhrsteuer (vgl. Art. 51 Abs. 1 MWSTG) - ipso facto als bevorteilt (vgl. Urteile des BGer 2C_912/2015 vom 20. September 2016 E. 5.1-5.2; 2C_415/2013 vom 2. Februar 2014 E. 3.2; Urteil des BVGer A-2687/2016 vom 22. Dezember 2016 E. 2.3; Michael Beusch, in: Martin Kocher/Diego Clavadetscher [Hrsg.], Zollgesetz [ZG], Stämpflis Handkommentar, 2009, Art. 70 N. 12).</w:t>
      </w:r>
    </w:p>
    <w:p>
      <w:r>
        <w:rPr>
          <w:b/>
        </w:rPr>
        <w:t>E. 3.1</w:t>
      </w:r>
    </w:p>
    <w:p>
      <w:r>
        <w:t>Die Vorinstanz begründet den angefochtenen Entscheid vom 26. Februar 2018 hinsichtlich der Medaillen im Wesentlichen damit, dass diese zwar aufgrund ihres münzkundlichen Werts in die Zolltarifnummer 9705.0000 einzureihen seien, es sich dabei jedoch nicht um staatlich geprägte Goldmünzen im Sinne von Art. 44 Abs. 1 Bst. a MWSTV handle, weshalb hierfür die Steuerbefreiung nicht zugestanden werden könne. Auch bei den seitens des Beschwerdeführers importierten 1-fach und 4-fach Golddukaten aus der Zeit des österreichischen Kaiserreichs unter Franz Josef I sei unbestritten, dass es sich um Sammlungsstücke von numismatischem Wert im Sinne der Tarifnummer 9705.0000 handle. Weiter führte die Vorinstanz im Rahmen des angefochtenen Entscheids aus, der Beschwerdeführer gehe mit ihr einig, dass Dukaten des österreichischen Kaiserreichs ab dem Jahre 1858 (i.e. mit dem Inkrafttreten des Wiener Münzvertrages vom 24. Januar 1857 [fortan: Wiener Münzvertrag]) grundsätzlich keine gesetzlichen Zahlungsmittel mehr gewesen seien. Gemäss dem Beschwerdeführer übersehe die Vorinstanz jedoch, dass Österreich bereits Ende 1867 wieder aus dem Wiener Münzvertrag ausgetreten sei. Nach Ansicht der Vorinstanz hatten die 1- und 4-fach Dukaten mit dem Inkrafttreten des Wiener Münzvertrages und dem damit verbundenen Wechsel von der Gold- hin zur Silberwährung die Eigenschaft als gesetzliches Zahlungsmittel hingegen definitiv verloren. Es sei nicht ersichtlich, dass die 1- und 4-fach Dukaten nach 1858 zu irgend einem Zeitpunkt wieder gesetzliches Zahlungsmittel geworden seien. Im Übrigen bestehe seit 1969 ein für die Schweiz verbindlicher Einreihungsavis, wonach nachgeprägte Dukaten (1-fach und 4-fach) des Kaiserreichs Österreich mit einheitlicher Jahreszahl 1915 der Zolltarifnummer 7114.1990 zuzuordnen seien. Demnach könne für die besagten Dukaten - trotz deren Einreihung unter die Tarifnummer 9705.0000 - die Steuerbefreiung nicht zugestanden werden.</w:t>
      </w:r>
    </w:p>
    <w:p>
      <w:r>
        <w:rPr>
          <w:b/>
        </w:rPr>
        <w:t>E. 3.2</w:t>
      </w:r>
    </w:p>
    <w:p>
      <w:r>
        <w:t>Der Beschwerdeführer bringt zur Begründung seines Antrages vorab vor, die Vorinstanz sei zu Unrecht der Ansicht, dass es sich bei den in Frage stehenden Goldmünzen im Sinne von Art. 44 Abs. 1 Bst. a MWSTV auch um gesetzliche Zahlungsmittel handeln müsse bzw. gehandelt haben müsse. Der Bundesrat nehme staatlich geprägte Goldmünzen der Zolltarifnummern 7118.9010 und 9705.0000 explizit ohne Vorbehalte von der Einfuhrsteuer aus. Die Vorinstanz gehe fehl, wenn sie annehme, der Verordnungsgeber hätte mit dem Begriff "staatlich geprägt" eine erweiterte einschränkende Bestimmung erlassen. Mit Blick auf die Medaillen bringt der Beschwerdeführer insbesondere vor, es sei gänzlich unbestritten, dass die Medaillen der Tarifnummer 9705.0000 zuzuordnen seien. Im Entscheid der Vorinstanz werde unzutreffend der Eindruck erweckt, als ob es sich zumindest bei zwei der strittigen Goldmedaillen gemäss dem Gutachten um private - und nicht um staatliche - Prägungen gehandelt hätte. Die Vorinstanz verweigere schliesslich die Befreiung von der Einfuhrsteuer für die strittigen Medaillen mit dem Hinweis, dass es sich dabei nicht um staatlich geprägte Goldmünzen handle. Es handle sich dabei jedoch sehr wohl um staatlich geprägte Goldmünzen, die der Tarifnummer 9705.0000 zuzuordnen seien. Hinsichtlich der Dukaten moniert der Beschwerdeführer, die Vorinstanz behaupte mit Bezug auf den Wiener Münzvertrag, dass Dukaten ab 1858 keine gesetzlichen Zahlungsmittel gewesen seien, wobei sie ignoriere, dass Österreich aus diesem Vertrag bereits Ende 1867 wieder ausgetreten und dieser dementsprechend als Rechtsgrundlage weggefallen sei. Dies werde im Übrigen auch durch das Gutachten bestätigt, wonach es sich bei den u.a. begutachteten Dukaten aus den Jahren 1873 und 1898 um vollwertiges Geld gehandelt habe. In der Nachforderungsverfügung vom 20. September 2017 seien diese Münzen denn auch zu Recht wieder ausgeklammert worden (vgl. Sachverhalt Bst. F). Unverständlich sei jedoch, warum angesichts des eindeutigen Ergebnisses des Gutachtens nicht auch alle anderen Dukatenstücke ab 1858 in der Nachforderungsverfügung vom 20. September 2017 ausgeklammert worden seien, wie beispielsweise ein 1-fach Dukatenstück von 1873 oder ein 4-fach Dukatenstück aus dem Jahre 1905. Im Übrigen greife der Verweis der Vorinstanz auf die Bestimmungen zu den österreichischen Dukaten mit der Jahreszahl 1915 in Leere. Denn dabei handle es sich unbestritten nicht um Originalprägungen.</w:t>
      </w:r>
    </w:p>
    <w:p>
      <w:r>
        <w:rPr>
          <w:b/>
        </w:rPr>
        <w:t>E. 3.3</w:t>
      </w:r>
    </w:p>
    <w:p>
      <w:r>
        <w:t>Die Vorinstanz verweist im Rahmen ihrer Vernehmlassung vollumfänglich auf die Begründung in ihrem Entscheid vom 26. Februar 2018 (E. 3.1).</w:t>
      </w:r>
    </w:p>
    <w:p>
      <w:r>
        <w:rPr>
          <w:b/>
        </w:rPr>
        <w:t>E. 4.1</w:t>
      </w:r>
    </w:p>
    <w:p>
      <w:r>
        <w:t>Im vorliegenden Fall ist streitig, ob die vom Beschwerdeführer eingeführten Golddukaten und -medaillen im Sinne von Art. 107 Abs. 2 MWSTG i.V.m. Art. 113 Bst. g und Art. 44 Abs. 1 Bst. a MWSTV steuerfrei eingeführt werden können.</w:t>
      </w:r>
    </w:p>
    <w:p>
      <w:r>
        <w:rPr>
          <w:b/>
        </w:rPr>
        <w:t>E. 4.2</w:t>
      </w:r>
    </w:p>
    <w:p>
      <w:r>
        <w:t>Vorab ist auf die im Streit liegenden Medaillen einzugehen.</w:t>
      </w:r>
    </w:p>
    <w:p>
      <w:r>
        <w:rPr>
          <w:b/>
        </w:rPr>
        <w:t>E. 4.2.1</w:t>
      </w:r>
    </w:p>
    <w:p>
      <w:r>
        <w:t>Dem Beschwerdeführer (und auch der Vorinstanz) ist zwar insoweit zuzustimmen, soweit diese hinsichtlich der Medaillen vorbringen, diese seien aufgrund ihres münzkundlichen Werts wohl in die Zolltarifnummer 9705.0000 einzureihen (E. 3.1 und 3.2). Dieser Umstand alleine löst jedoch die Einfuhrsteuerbefreiung im Sinne von Sinne von Art. 107 Abs. 2 MWSTG i.V.m. Art. 113 Bst. g und Art. 44 Abs. 1 Bst. a MWSTV nicht aus. Die Einfuhrsteuerbefreiung setzt weiter voraus, dass es sich bei den eingeführten Gegenständen um staatlich geprägte Goldmünzen der Zolltarifnummern 7118.9010 und 9705.0000 handelt, wobei von staatlich geprägten Goldmünzen der genannten Zolltarifnummern 7118.9010 und 9705.0000 gemäss den entsprechenden Erläuterungen nur die Rede sein kann, wenn diese irgendeinmal als gesetzliche Zahlungsmittel gedient haben (E. 2.4.2.3). Diese - als materiell internationales Staatsvertragsrecht für das Bundesverwaltungsgericht verbindlichen (E. 2.3.5) - Bestimmungen sind eindeutig und unmissverständlich, womit kein Grund ersichtlich ist, hiervon abzuweichen.</w:t>
      </w:r>
    </w:p>
    <w:p>
      <w:r>
        <w:rPr>
          <w:b/>
        </w:rPr>
        <w:t>E. 4.2.2</w:t>
      </w:r>
    </w:p>
    <w:p>
      <w:r>
        <w:t>Die in Frage stehenden Medaillen müssten demnach irgendeinmal als gesetzliches Zahlungsmittel gedient haben. Letzteres bringt der Beschwerdeführer gerade nicht vor. Vielmehr macht er geltend, dies sei nicht erforderlich (E. 3.2). Der Beschwerdeführer, der die Einfuhrsteuerbefreiung im Sinne von Art. 107 Abs. 2 MWSTG i.V.m. Art. 113 Bst. g und Art. 44 Abs. 1 Bst. a MWSTV geltend machen will, ist für die hierfür erforderlichen abgabeaufhebenden Tatsachen beweisbelastet, i.e. hat die Folgen einer allfälligen Beweislosigkeit zu tragen (E. 1.4.2.3). Gemäss dem Gutachten haben bzw. hatten die streitigen Medaillen zu keinem Zeitpunkt Geldcharakter (vgl. Sachverhalt Bst. E). Da der Beschwerdeführer dies weder bestreitet noch widerlegt und auch sonst keine Anhaltspunkte dafür vorliegen, dass das Gutachten in diesem Punkt mangelhaft ist, ist davon auszugehen, dass die Medaillen zu keinem Zeitpunkt gesetzliche Zahlungsmittel waren. Zumindest aber ist das Gegenteil nicht bewiesen.</w:t>
      </w:r>
    </w:p>
    <w:p>
      <w:r>
        <w:rPr>
          <w:b/>
        </w:rPr>
        <w:t>E. 4.2.3</w:t>
      </w:r>
    </w:p>
    <w:p>
      <w:r>
        <w:t>Demzufolge erfüllen die seitens des Beschwerdeführers eingeführten Medaillen die für die Einfuhrsteuerbefreiung notwendigen Voraussetzungen nicht (E. 2.4), weshalb die Beschwerde in diesem Punkt abzuweisen ist.</w:t>
      </w:r>
    </w:p>
    <w:p>
      <w:r>
        <w:rPr>
          <w:b/>
        </w:rPr>
        <w:t>E. 4.3</w:t>
      </w:r>
    </w:p>
    <w:p>
      <w:r>
        <w:t>Weiter ist zu prüfen, ob die vom Beschwerdeführer eingeführten Golddukaten im Sinne von Art. 107 Abs. 2 MWSTG i.V.m. Art. 113 Bst. g und Art. 44 Abs. 1 Bst. a MWSTV steuerfrei eingeführt werden können.</w:t>
      </w:r>
    </w:p>
    <w:p>
      <w:r>
        <w:rPr>
          <w:b/>
        </w:rPr>
        <w:t>E. 4.3.1</w:t>
      </w:r>
    </w:p>
    <w:p>
      <w:r>
        <w:t>Auch betreffend die Dukaten gilt, dass diese nur dann im Sinne von Art. 107 Abs. 2 MWSTG i.V.m. Art. 113 Bst. g und Art. 44 Abs. 1 Bst. a MWSTV von der Einfuhrsteuer befreit sind, wenn diese irgendeinmal als gesetzliche Zahlungsmittel gedient haben (E. 2.4.2.3 und 4.2.1).</w:t>
      </w:r>
    </w:p>
    <w:p>
      <w:r>
        <w:rPr>
          <w:b/>
        </w:rPr>
        <w:t>E. 4.3.2</w:t>
      </w:r>
    </w:p>
    <w:p>
      <w:r>
        <w:t>Das Gutachten kommt für sämtliche geprüften Golddukaten - darunter auch solche, die nach dem Abschluss des Wiener Münzvertrages geprägt wurden - zum Schluss, dass es sich dabei um Münzen handelt bzw. um gesetzliche Zahlungsmittel handelte (vgl. auch Sachverhalt Bst. E).</w:t>
      </w:r>
    </w:p>
    <w:p>
      <w:r>
        <w:rPr>
          <w:b/>
        </w:rPr>
        <w:t>E. 4.3.3</w:t>
      </w:r>
    </w:p>
    <w:p>
      <w:r>
        <w:t>Als gesetzliches Zahlungsmittel gilt das vom Staat für sein Währungsgebiet ausgegebene Geld (Noten und Münzen). Der Schuldner befreit sich durch Zahlung in der gesetzlichen Währung und der Gläubiger ist verpflichtet, eine solche Zahlung anzunehmen. Dass vom Vorliegen eines gesetzlichen Zahlungsmittel die Rede sein kann, setzt das Vorhandensein eines Staates voraus, welchem das Geldausgabemonopol zusteht und dieses auch durchzusetzen vermag (E. 2.4.3). Als Staat - mit Staatsvolk, Staatsgebiet und Staatsgewalt (E. 2.4.1) - kommen im vorliegenden Falle nur Österreich-Ungarn und dessen Vorgängergebilde in Frage. Unter den Parteien ist zurecht unbestritten, dass es sich dabei um Staaten im vorgenannten Sinne handelte, die für ihr Staatsgebiet bestimmen konnten, was als (gesetzliches) Zahlungsmittel galt. Keine Währungsmünzen - also keine vom Staat zu gesetzlichen Zahlungsmitteln bestimmte Münzen - sind die sogenannten Handelsmünzen, für die zwar der Metallwert verbürgt ist, die aber im eigenen Lande keinen Zwangskurs und keine gesetzliche Zahlkraft besitzen, also ausserhalb des eigentlichen Münzsystems stehen (Günther Probszt, Österreichische Münz- und Geldgeschichte, 3. Aufl. 1994, S. 20; Heinrich Halke, Handwörterbuch der Münzkunde und ihrer Hilfswissenschaften, 1909, S. 127). Handelsmünzen sind Münzen, welche in einem Lande nicht für den eigenen Bedarf desselben, sondern für den Handel mit anderen Ländern geprägt werden. Zu den Handelsmünzen rechnet man im Weiteren auch die Münzen, welche ursprünglich zwar nur für das Inland geprägt sind, die aber auch im Ausland Verbreitung finden und gern in Zahlung genommen werden (Halke, a.a.O., S. 127).</w:t>
      </w:r>
    </w:p>
    <w:p>
      <w:r>
        <w:rPr>
          <w:b/>
        </w:rPr>
        <w:t>E. 4.3.4</w:t>
      </w:r>
    </w:p>
    <w:p>
      <w:r>
        <w:t>Mit dem Austausch der Ratifikationsurkunden zum Wiener Münzvertrag in Wien am 3. und 25. Mai 1857 trat dieser in Kraft (Wilhelm Zich, Der Wiener Münzvertrag vom 24. Januar 1857 und Carl Ludwig von Bruck, Diss. Wien 2009, S. 117). Ziel des Wiener Münzvertrags war eine Art Währungsunion der beteiligten Staaten (Wilhelm Zich, a.a.O., Vorwort). Während österreichische Golddukaten bis zum Abschluss des Wiener Münzvertrags noch Teil der österreichischen Währung und somit gesetzliches Zahlungsmittel waren, durften diese mit Abschluss des Wiener Münzvertrages zwar weiterhin geprägt werden, jedoch "nur" noch in der Eigenschaft als Handelsmünze (Wilhelm Zich, a.a.O., S. 103 und 219 f.; Günther Probszt, a.a.O., S. 539). Auch mit dem Austritt des damaligen Österreichs aus dem Wiener Münzvertrag am 1. Januar 1868 wurden die ab dann geprägten Golddukaten nicht wieder zu gesetzlichen Zahlungsmitteln erklärt, sondern "lediglich" noch als Handelsmünzen geprägt (Wilhelm Zich, a.a.O., S. 239 ff.; Günther Probszt, a.a.O., S. 543 ff.).</w:t>
      </w:r>
    </w:p>
    <w:p>
      <w:r>
        <w:rPr>
          <w:b/>
        </w:rPr>
        <w:t>E. 4.3.5</w:t>
      </w:r>
    </w:p>
    <w:p>
      <w:r>
        <w:t>Dem Gesagten nach ist der Vorinstanz insoweit zuzustimmen (vgl. E. 3.1), als dass die ab Geltung des Wiener Münzvertrages geprägten Golddukaten zwar Sammlerstücke von numismatischem Wert sind, jedoch zu keiner Zeit gesetzliche Zahlungsmittel waren und demnach nicht unter die Zolltarifnummern 7118.9010 und 9705.0000 und somit nicht unter Art. 107 Abs. 2 MWSTG i.V.m. Art. 113 Bst. g und Art. 44 Abs. 1 Bst. a MWSTV subsumiert werden können (E. 2.4.2.3 und 4.3.4). Die vor der Geltung des Wiener Münzvertrages geprägten Dukaten dienten hingegen als gesetzliche Zahlungsmittel und erfüllen damit sämtliche für eine Einfuhrsteuerbefreiung im Sinne von Art. 107 Abs. 2 MWSTG i.V.m. Art. 113 Bst. g und Art. 44 Abs. 1 Bst. a MWSTV erforderlichen Voraussetzungen (vgl. E. 2.4.2 und 4.3.4). Irrelevant ist in diesem Zusammenhang der Hinweis der Vorinstanz (vgl. E. 3.1), dass betreffend nachgeprägte Dukaten (1-fach und 4-fach) des Kaiserreichs Österreich mit einheitlicher Jahreszahl 1915 ein verbindlicher Einreihungsavis bestehe, wonach diese der Zolltarifnummer 7114.1990 zuzuordnen seien, zumal es sich dabei lediglich um Nachprägungen handelt, die im Emissionsland nie gesetzlichen Kurs gehabt haben, und nicht um die hier zu beurteilenden Originalprägungen (E. 2.4.2.3).</w:t>
      </w:r>
    </w:p>
    <w:p>
      <w:r>
        <w:rPr>
          <w:b/>
        </w:rPr>
        <w:t>E. 4.3.6</w:t>
      </w:r>
    </w:p>
    <w:p>
      <w:r>
        <w:t>Für die Berechnung der für die Einfuhr der Dukaten geschuldeten Einfuhrsteuern ist demzufolge darauf abzustellen, wann diese geprägt wurden, i.e. vor oder nach dem Inkrafttreten des Wiener Münzvertrages. Dukaten, die vor dem 25. Mai 1857 geprägt wurden, sind von der Einfuhrsteuer befreit, während die danach geprägten steuerbar sind (E. 4.3.4 f.). In welchen Jahren die hier strittigen Dukaten geprägt wurden, lässt sich jedoch gestützt auf die Akten nicht ermitteln. Dies hat die Vorinstanz im Rahmen ihrer Untersuchungspflicht abzuklären.</w:t>
      </w:r>
    </w:p>
    <w:p>
      <w:r>
        <w:rPr>
          <w:b/>
        </w:rPr>
        <w:t>E. 5</w:t>
      </w:r>
    </w:p>
    <w:p>
      <w:r>
        <w:t>Nach dem Gesagten ist die vorliegende Beschwerde insofern gutzuheissen, als die Streitsache zu weiteren Abklärungen und neuem Entscheid im Sinne der Erwägungen (vgl. insbesondere E. 4.3.5 f.) an die Vorinstanz zurückzuweisen ist (E. 1.4.4), im Übrigen aber, i.e. mit Bezug auf die Medaillen, abzuweisen (E. 4.2.3). Der angefochtene Entscheid der Oberzolldirektion vom 26. Februar 2018 ist im Umfang der Gutheissung aufzuheben.</w:t>
      </w:r>
    </w:p>
    <w:p>
      <w:r>
        <w:rPr>
          <w:b/>
        </w:rPr>
        <w:t>E. 6</w:t>
      </w:r>
    </w:p>
    <w:p>
      <w:r>
        <w:t>Abschliessend bleibt über die Verfahrenskosten und eine allfällige Parteientschädigung zu befinden.</w:t>
      </w:r>
    </w:p>
    <w:p>
      <w:r>
        <w:rPr>
          <w:b/>
        </w:rPr>
        <w:t>E. 6.1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A-2900/2014 vom 29. Januar 2015 E. 5.2, A-6437/2012 vom 6. November 2013 E. 4). Im vorliegenden Falle erfolgt die Rückweisung an die Vorinstanz, damit Letztere feststellt, in welchen Jahren die eingeführten Dukaten geprägt wurden, um auf dieser Basis die diesbezüglich geschuldeten Einfuhrsteuern zu ermitteln (vgl. E. 4.3.5 f. und E. 5). Insoweit - i.e. im Umfange des die Dukaten betreffenden Streitwertes in Höhe von ca. CHF 9'600.- (von gesamthaft CHF 15'417.05) - ist der Verfahrensausgang noch offen und der Beschwerdeführer demnach als obsiegend zu betrachten. Demgegenüber unterliegt der Beschwerdeführer hinsichtlich der Aufrechnung von Einfuhrsteuern in Höhe von ca. CHF 5'800.- für die von ihm importierten Medaillen (E. 4.2.3). Bei dieser Sachlage rechtfertigt es sich, die Verfahrenskosten in Höhe von CHF 2'500.- im Umfange von CHF 1'000.- dem Beschwerdeführer aufzuerlegen und mit dem von ihm geleisteten Kostenvorschuss im entsprechenden Umfang zu verrechnen. Der Überschuss von CHF 1'500.- ist ihm nach Eintritt der Rechtskraft dieses Urteils zurückzuerstatten. Der unterliegenden Vorinstanz sind keine Verfahrenskosten aufzuerlegen (Art. 63 Abs. 2 VwVG).</w:t>
      </w:r>
    </w:p>
    <w:p>
      <w:r>
        <w:rPr>
          <w:b/>
        </w:rPr>
        <w:t>E. 6.2</w:t>
      </w:r>
    </w:p>
    <w:p>
      <w:r>
        <w:t>Im Rahmen seines Obsiegens hat der anwaltlich vertretene Beschwerdeführer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A-5198/2016 E. 8.2). Der anwaltlich vertretene Beschwerdeführer hat keine Kostennote eingereicht. Unter Berücksichtigung der Schwierigkeit der rechtlichen Fragestellungen, des Umfangs der Ausführungen des Beschwerdeführers zu den relevanten Fragen und des teilweisen Unterliegens ist die Parteientschädigung für das Verfahren vor dem Bundesverwaltungsgericht ermessensweise auf CHF 1'500.- (inkl. Auslagen und Mehrwertsteuerzuschlag im Sinne von Art. 9 Abs. 1 Bst. b und c VGKE) festzusetzen.</w:t>
      </w:r>
    </w:p>
    <w:p>
      <w:r>
        <w:rPr>
          <w:b/>
        </w:rPr>
        <w:t>E. 6.3</w:t>
      </w:r>
    </w:p>
    <w:p>
      <w:r>
        <w:t>Was die Kosten- und Entschädigungsfolgen des vorinstanzlichen Beschwerdeverfahrens betrifft, so wird die Vorinstanz über diese im neuen Entscheid im Lichte des dannzumaligen Verfahrensausgangs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