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A-2103/2011 vom 16. Mai 2011</w:t>
      </w:r>
    </w:p>
    <w:p>
      <w:r>
        <w:t>Bundesverwaltungsgericht, 2011-05-16, DE</w:t>
      </w:r>
    </w:p>
    <w:p>
      <w:r>
        <w:rPr>
          <w:b/>
        </w:rPr>
        <w:t xml:space="preserve">Quelle: </w:t>
      </w:r>
      <w:r>
        <w:t>https://mcp.opencaselaw.ch/entscheid/bvger_A-2103_2011</w:t>
      </w:r>
    </w:p>
    <w:p>
      <w:r>
        <w:t>FR: TAF A-2103/2011 du 16 mai 2011</w:t>
      </w:r>
    </w:p>
    <w:p>
      <w:r>
        <w:t>IT: TAF A-2103/2011 del 16 maggio 2011</w:t>
      </w:r>
    </w:p>
    <w:p>
      <w:pPr>
        <w:pStyle w:val="Heading2"/>
      </w:pPr>
      <w:r>
        <w:t>Regeste</w:t>
      </w:r>
    </w:p>
    <w:p>
      <w:r>
        <w:t>Verfahrenskosten</w:t>
      </w:r>
    </w:p>
    <w:p>
      <w:pPr>
        <w:pStyle w:val="Heading2"/>
      </w:pPr>
      <w:r>
        <w:t>Erwägungen</w:t>
      </w:r>
    </w:p>
    <w:p>
      <w:r>
        <w:rPr>
          <w:b/>
        </w:rPr>
        <w:t>E. 1</w:t>
      </w:r>
    </w:p>
    <w:p>
      <w:r>
        <w:t>Der Beschwerdegegnerin werden Verfahrenskosten im Betrag von Fr. 7'000.- auferlegt. Der Betrag ist innert 30 Tagen nach Eintritt der Rechtskraft des vorliegenden Urteils zu Gunsten der Gerichtskasse zu überweisen.</w:t>
      </w:r>
    </w:p>
    <w:p>
      <w:r>
        <w:rPr>
          <w:b/>
        </w:rPr>
        <w:t>E. 2</w:t>
      </w:r>
    </w:p>
    <w:p>
      <w:r>
        <w:t>Den Beschwerdeführenden wird der geleistete Kostenvorschuss in der Höhe von Fr. 2'000.- nach Rechtskraft des vorliegenden Urteils zurückerstattet. Hierzu haben sie dem Bundesverwaltungsgericht ihre Zahlungsverbindung bekannt zu geben.</w:t>
      </w:r>
    </w:p>
    <w:p>
      <w:r>
        <w:rPr>
          <w:b/>
        </w:rPr>
        <w:t>E. 3</w:t>
      </w:r>
    </w:p>
    <w:p>
      <w:r>
        <w:t>Den Beschwerdeführenden wird eine Parteientschädigung im Betrag von gesamthaft Fr. 70'465.10 (inkl. Mehrwertsteuer) zugesprochen. Diese ist ihnen durch die Beschwerdegegnerin nach Eintritt der Rechtskraft des vorliegenden Urteils zu entrichten.</w:t>
      </w:r>
    </w:p>
    <w:p>
      <w:r>
        <w:rPr>
          <w:b/>
        </w:rPr>
        <w:t>E. 4</w:t>
      </w:r>
    </w:p>
    <w:p>
      <w:r>
        <w:t>Dieses Urteil geht an: - die Beschwerdeführenden (Gerichtsurkunde) - die Beschwerdegegnerin (Gerichtsurkunde) - die Vorinstanz (Ref-Nr. 380/220-kV-Leitung; Einschreiben) - Das Generalsekretariat des Eidgenössischen Departements für Umwelt, Verkehr, Energie und Kommunikation UVEK (Gerichtsurkunde) Für die Rechtsmittelbelehrung wird auf die nächste Seite verwiesen. Die vorsitzende Richterin: Die Gerichtsschreiberin: Marianne Ryter Sauvant Beatrix Schibli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