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A-207/2014 vom 6. März 2015</w:t>
      </w:r>
    </w:p>
    <w:p>
      <w:r>
        <w:t>Bundesverwaltungsgericht, 2015-03-06, DE</w:t>
      </w:r>
    </w:p>
    <w:p>
      <w:r>
        <w:rPr>
          <w:b/>
        </w:rPr>
        <w:t xml:space="preserve">Quelle: </w:t>
      </w:r>
      <w:r>
        <w:t>https://mcp.opencaselaw.ch/entscheid/bvger_A-207_2014</w:t>
      </w:r>
    </w:p>
    <w:p>
      <w:r>
        <w:t>FR: TAF A-207/2014 du 6 mars 2015</w:t>
      </w:r>
    </w:p>
    <w:p>
      <w:r>
        <w:t>IT: TAF A-207/2014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Beschwerdeführerinnen der Beschwerdegegnerin für die Tarifjahre 2009 und 2010 Akontozahlungen für den Anteil an den SDL-Kosten leisteten, den sie gemäss der damals geltenden verfassungs- und gesetzeswidrigen Bestimmung von aArt. 31b Abs. 2 StromVV übernehmen sollten. Sie war entsprechend zum Erlass der Verfügung befugt. Das Bundesverwaltungsgericht ist somit für die Beurteilung der vorliegenden Beschwerde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Beschwerdeführerinnen beteiligten sich am vorinstanzlichen Verfahren, drangen mit ihren Rechtsbegehren jedoch nur teilweise durch. Sie sind somit formell und materiell beschwert und ohne Weiteres zur Beschwerde legitimiert.</w:t>
      </w:r>
    </w:p>
    <w:p>
      <w:r>
        <w:rPr>
          <w:b/>
        </w:rPr>
        <w:t>E. 1.3.1</w:t>
      </w:r>
    </w:p>
    <w:p>
      <w:r>
        <w:t>Streitgegenstand in der nachträglichen Verwaltungsrechtspflege ist das durch die angefochtene Verfügung geregelte Rechtsverhältnis, soweit es im Streit liegt. Fragen, über welche die erstinstanzlich verfügende Behörde nicht entschieden hat, darf die zweite Instanz nicht beurteilen, ansonsten sie in die funktionelle Zuständigkeit der ersten Instanz eingreifen würde (vgl. Moser/Beusch/Kneubühler, Prozessieren vor dem Bundesverwaltungsgericht, 2. Aufl. 2013, Rz. 2.8). Aus prozessökonomischen Gründen kann allerdings ausnahmsweise auf Begehren, die über den vorinstanzlichen Streitgegenstand hinausgehen, eingetreten werden, wenn sie zu diesem einen (sehr) engen Bezug haben und die Verwaltung im Laufe des Verfahrens Gelegenheit hatte, sich zur neuen Streitfrage zu äussern (vgl. Urteil des Bundesgerichts 1A.254/2004 vom 7. Februar 2005 E. 2.3 mit Hinweisen; BVGE 2009/37 E. 1.3.1; Urteil des Bundesverwaltungsgerichts A-832/2014 vom 20. August 2014 E. 1.3; Moser/ Beusch/Kneubühler, a.a.O., Rz. 2.210).</w:t>
      </w:r>
    </w:p>
    <w:p>
      <w:r>
        <w:rPr>
          <w:b/>
        </w:rPr>
        <w:t>E. 1.3.2</w:t>
      </w:r>
    </w:p>
    <w:p>
      <w:r>
        <w:t>Vorliegend ist - auch wenn die Beschwerdeführerinnen in ihrem Subsubsubsubeventualbegehren (Eventualantrag 5) versehentlich vom 11. Februar 2011 ausgehen - unbestritten, dass die Beschwerdegegnerin auf den Rückerstattungsforderungen der Beschwerdeführerinnen ab dem von der Vorinstanz für den Verzugseintritt als massgeblich erachteten Zeitpunkt, d.h. dem 10. Februar 2011, einen Verzugszins von 5 % zu entrichten hatte. Streitig ist jedoch einerseits, ob der Verzug bereits mit der Entrichtung (Valutadatum) der SDL-Akontozahlungen eintrat und die Beschwerdegegnerin daher ab diesem Zeitpunkt bis zu dem von der Vor-instanz für den Verzugseintritt als massgeblich erachteten späteren Zeitpunkt zusätzliche Verzugszinsen zu bezahlen hat (vgl. Antrag 1). Umstritten ist andererseits, ob die Beschwerdeführerinnen für den Fall, dass dies zu verneinen ist, ab der Entrichtung der SDL-Akontozahlungen bis zum - ebenfalls streitigen - massgeblichen späteren Zeitpunkt des Verzugseintritts Anspruch auf Bereicherungszins haben (vgl. die verschiedenen Eventualanträge). Streitig ist zudem die Verlegung der Kosten des vor-instanzlichen Verfahrens (vgl. Antrag 2).</w:t>
      </w:r>
    </w:p>
    <w:p>
      <w:r>
        <w:rPr>
          <w:b/>
        </w:rPr>
        <w:t>E. 1.3.3</w:t>
      </w:r>
    </w:p>
    <w:p>
      <w:r>
        <w:t>Während die Beschwerdeführerinnen mit Antrag 1 nicht über den Streitgegenstand des vorinstanzlichen Verfahrens hinausgehen, da sie bereits dort Verzugszins ab Entrichtung der SDL-Akontozahlungen geltend machten, und die mit Antrag 2 geforderte Kostenverlegung der vor der Vorinstanz verlangten entspricht, beantragen sie Bereicherungszins erstmals im vorliegenden Beschwerdeverfahren. Auf dieses Begehren müsste somit im Prinzip nicht eingetreten werden, zumal es sich hinsichtlich der tatsächlichen Anspruchsvoraussetzungen vom Begehren auf zusätzlichen Verzugszins unterscheidet. Es hat allerdings einen engen Bezug zu diesem Begehren und damit zum Streitgegenstand des vor-instanzlichen Verfahrens. Die Vorinstanz konnte sich im Rahmen des vorliegenden Beschwerdeverfahrens zudem dazu äussern, ebenso die Beschwerdegegnerin. Da Erstere in ihren Stellungnahmen einen Anspruch der Beschwerdeführerinnen auf Bereicherungszins verneint, sprechen weiter auch prozessökonomische Gründe für ein ausnahmsweises Eintreten auf dieses Begehren. Die Frage braucht letztlich jedoch nicht abschliessend beantwortet zu werden, wäre das Begehren doch - wenn darauf eingetreten werden dürfte - abzuweisen (vgl. E. 13).</w:t>
      </w:r>
    </w:p>
    <w:p>
      <w:r>
        <w:rPr>
          <w:b/>
        </w:rPr>
        <w:t>E. 1.4</w:t>
      </w:r>
    </w:p>
    <w:p>
      <w:r>
        <w:t>Die Beschwerde wurde im Weiteren frist- und formgerecht eingereicht (vgl. Art. 50 Abs. 1 und Art. 52 Abs. 1 VwVG), weshalb - unter Vorbehalt der vorstehenden Ausführungen (vgl. E. 1.3.3) - darauf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Rechtliches Gehör</w:t>
      </w:r>
    </w:p>
    <w:p>
      <w:r>
        <w:rPr>
          <w:b/>
        </w:rPr>
        <w:t>E. 3.1</w:t>
      </w:r>
    </w:p>
    <w:p>
      <w:r>
        <w:t>Die Beschwerdeführerinnen bringen in formeller Hinsicht vor, die Vor-instanz habe ihr Recht auf Orientierung als Teilgehalt des Anspruchs auf rechtliches Gehör verletzt, weshalb die angefochtene Verfügung bereits aus formellen Gründen aufzuheben sei. Mit Schreiben vom 23. Oktober 2013 habe sie ihnen unter anderem zwei Briefe der Beschwerdegegnerin vom 11. November 2010 und 9. Februar 2011 an die Kernkraftwerk Gösgen-Däniken AG zugestellt und dazu ausgeführt, gemäss Angaben der Beschwerdegegnerin hätten sie identische Briefe erhalten. Das Schreiben habe keinerlei Hinweise enthalten, inwiefern die beiden Briefe als weitere Sachverhaltsgrundlage für die rechtliche Beurteilung relevant seien. Auch sonst hätten sich in den Akten keinerlei Anhaltspunkte dafür gefunden, dass die Vorinstanz diese Briefe zur Bestimmung des Zinsenlaufs heranziehen und letztlich auf den Brief vom 9. Februar 2011 als Verzugszins auslösendes Ereignis abstellen würde. Solches sei während der gesamten Verfahrensdauer auch nie zur Diskussion gestanden. Es sei für sie deshalb nicht erkennbar gewesen, dass den Briefen entscheidrelevante Bedeutung zukomme. Sie hätten sich daher auch nicht rechtsgenüglich zu diesen Sachverhaltselementen äussern können. Insbesondere sei es ihnen nicht möglich gewesen, den entscheidrelevanten Sachverhalt zu ergänzen.</w:t>
      </w:r>
    </w:p>
    <w:p>
      <w:r>
        <w:rPr>
          <w:b/>
        </w:rPr>
        <w:t>E. 3.2</w:t>
      </w:r>
    </w:p>
    <w:p>
      <w:r>
        <w:t>Die Vorinstanz verneint eine Gehörsverletzung. Sie macht geltend, sie habe die Beschwerdeführerinnen vor dem Erlass der angefochtenen Verfügung zwar nicht explizit darauf hingewiesen, dass sie den Brief der Beschwerdegegnerin vom 9. Februar 2011 an die Kernkraftwerk Gösgen-Däniken AG, der identisch an die weiteren betroffenen Kraftwerkbetreiberinnen gegangen sei, für den Beginn des Zinsenlaufs als massgeblich erachte. Da sie den Brief zu den Verfahrensakten genommen und den anwaltlich vertretenen Beschwerdeführerinnen dies mit Schreiben vom 23. Oktober 2013 mitgeteilt habe, hätten diese jedoch davon ausgehen müssen, sie betrachte ihn bzw. dessen Inhalt als entscheidrelevant. Sie hätten somit die Möglichkeit gehabt, sich vor dem Erlass der angefochtenen Verfügung dazu zu äussern. Wie der Inhalt des Briefs zu würdigen sei, sei im Übrigen eine Rechts-, nicht eine Tatfrage. Die Beschwerdeführerinnen hätten insoweit daher nach konstanter bundesgerichtlicher Rechtsprechung keinen Anspruch auf vorgängige Anhörung gehabt.</w:t>
      </w:r>
    </w:p>
    <w:p>
      <w:r>
        <w:rPr>
          <w:b/>
        </w:rPr>
        <w:t>E. 3.3.1</w:t>
      </w:r>
    </w:p>
    <w:p>
      <w:r>
        <w:t>Das im VwVG nicht ausdrücklich erwähnte Recht auf Orientierung als Teilgehalt des verfassungsmässigen Anspruchs auf rechtliches Gehör (vgl. Art. 29 Abs. 2 BV) bezieht sich zur Hauptsache auf jene Informationspflichten der Behörden, die den Beteiligten die Wahrnehmung ihrer Äusserungs- und Mitwirkungsrechte erst ermöglichen (vgl. Kölz/Häner/ Bertschi, Verwaltungsverfahren und Verwaltungsrechtspflege des Bundes, 3. Aufl. 2013, Rz. 491). Es umfasst unter anderem das Recht, über den Umfang und die Tragweite der vorzunehmenden Sachverhaltsabklärung informiert zu werden, und in diesem Zusammenhang insbesondere den Anspruch, grundsätzlich über neu beigezogene, neu bestellte oder neu hinzugekommene entscheiderhebliche Beweismittel in Kenntnis gesetzt zu werden (vgl. Waldmann/Bickel, in: Praxiskommentar zum VwVG, 2009, nachfolgend: Praxiskommentar VwVG, Art. 29 N. 75).</w:t>
      </w:r>
    </w:p>
    <w:p>
      <w:r>
        <w:rPr>
          <w:b/>
        </w:rPr>
        <w:t>E. 3.3.2</w:t>
      </w:r>
    </w:p>
    <w:p>
      <w:r>
        <w:t>Die Vorinstanz teilte den Beschwerdeführerinnen im Schreiben vom 23. Oktober 2013 zwar nicht ausdrücklich mit, sie erachte den Inhalt der zu den Verfahrensakten genommenen Briefe der Beschwerdegegnerin vom 11. November 2010 und 9. Februar 2011 an die Kernkraftwerk Gösgen-Däniken AG bzw. die Zustellung identischer Briefe an sie als (potentiell) entscheidrelevant. Aus dem Schreiben ging indes hervor, dass sie die Beschwerdegegnerin im Rahmen der Ermittlung des rechtlich relevanten Sachverhalts am 8. Oktober 2013 in E-Mails, die dem Schreiben beigelegt waren, um eine Bestätigung ersuchte, identische Briefe auch den übrigen betroffenen Kraftwerkbetreiberinnen zugestellt zu haben. Dieses Ersuchen sowie der Umstand, dass sie in der Folge sowohl die E-Mail mit der entsprechenden Bestätigung der Beschwerdegegnerin als auch die beiden Briefe zu den Verfahrensakten nahm und in ihrem Schreiben ausdrücklich darauf hinwies, legten nahe, sie qualifiziere den Inhalt dieser Briefe bzw. die Zustellung identischer Briefe an die Beschwerdeführerinnen als (potentiell) entscheidrelevant. Diesen musste daher aufgrund des Schreibens auch ohne entsprechenden ausdrücklichen Hinweis klar sein, dass es sich bei den beiden neu zu den Verfahrensakten genommenen Briefen - wie auch der E-Mail mit der Bestätigung der Beschwerdegegnerin - nach Ansicht der Vorinstanz um (potentiell) entscheiderhebliche Dokumente bzw. Beweismittel handelte. Dies gilt umso mehr, als sie anwaltlich vertreten waren. Daran ändert nichts, dass die Vorinstanz sie in diesem Schreiben lediglich hinsichtlich des von der Beschwerdegegnerin eingereichten und zu den Verfahrensakten genommenen Datenmaterials ausdrücklich zur Stellungnahme aufforderte. Diese Aufforderung war, wie aus dem Schreiben hervorgeht, darauf zurückzuführen, dass sie ihre Rückerstattungsforderungen nicht belegt hatten und die Vorinstanz insoweit daher auf dieses Datenmaterial abzustellen beabsichtigte. Dass sie die neu zu den Verfahrensakten genommenen Unterlagen bzw. Dokumente ansonsten nicht als entscheidrelevant qualifizierte, ergibt sich aus dem Fehlen einer ausdrücklichen Aufforderung zur Stellungnahme zu den beiden Briefen bzw. zur Bestätigung der Beschwerdegegnerin daher nicht.</w:t>
      </w:r>
    </w:p>
    <w:p>
      <w:r>
        <w:rPr>
          <w:b/>
        </w:rPr>
        <w:t>E. 3.3.3</w:t>
      </w:r>
    </w:p>
    <w:p>
      <w:r>
        <w:t>Die Beschwerdeführerinnen waren somit aufgrund des Schreibens der Vorinstanz vom 23. Oktober 2013 ausreichend über die neu zu den Akten genommenen (potentiell) entscheiderheblichen Dokumente bzw. Beweismittel informiert. Sie hätten sich entsprechend - sofern erforderlich - über die mögliche rechtliche Relevanz des Inhalts der beiden Briefe bzw. der Zustellung identischer Briefe an sie kundig machen und sich dazu wie auch zu allfälligen in diesem Zusammenhang bestehenden tatsächlichen Fragen gegenüber der Vorinstanz noch vor Erlass der angefochtenen Verfügung von sich aus äussern können. Es kann daher nicht gesagt werden, die Vorinstanz sei ihrer Orientierungspflicht nicht nachgekommen bzw. habe das Recht auf Orientierung der Beschwerdeführerinnen und damit deren Anspruch auf rechtliches Gehör verletzt. Natur des Rechtsverhältnisses</w:t>
      </w:r>
    </w:p>
    <w:p>
      <w:r>
        <w:rPr>
          <w:b/>
        </w:rPr>
        <w:t>E. 4</w:t>
      </w:r>
    </w:p>
    <w:p>
      <w:r>
        <w:t>Wie erwähnt (vgl. E. 1.3.2), ist vorliegend einerseits streitig, ob der Verzug bereits mit der Entrichtung (Valutadatum) der SDL-Akontozahlungen eintrat und die Beschwerdegegnerin den Beschwerdeführerinnen daher ab diesem Zeitpunkt bis zu dem von der Vorinstanz für den Verzugseintritt als massgeblich erachteten späteren Zeitpunkt zusätzliche Verzugszinsen zu bezahlen hat (vgl. Antrag 1). Andererseits ist umstritten, ob die Beschwerdeführerinnen für den Fall, dass dies zu verneinen ist, ab der Entrichtung der Akontozahlungen bis zum - ebenfalls streitigen - massgeblichen späteren Zeitpunkt des Verzugseintritts Anspruch auf Bereicherungszins haben (vgl. die verschiedenen Eventualanträge). Streitig ist zudem die Verlegung der Kosten des vorinstanzlichen Verfahrens (vgl. Antrag 2). Nachfolgend wird zunächst die erste Frage (vgl. E. 5 ff.), anschliessend die zweite (vgl. E. 10 ff.) und schliesslich die dritte geprüft (vgl. E. 14). Vorab ist an dieser Stelle auf die Rechtsnatur des Rechtsverhältnisses einzugehen, welches zwischen den Beschwerdeführerinnen und der Beschwerdegegnerin hinsichtlich der Beiträge an die SDL-Kosten nach aArt. 31b Abs. 2 StromVV bzw. der entsprechenden Akontozahlungen bestand.</w:t>
      </w:r>
    </w:p>
    <w:p>
      <w:r>
        <w:rPr>
          <w:b/>
        </w:rPr>
        <w:t>E. 4.1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4.2</w:t>
      </w:r>
    </w:p>
    <w:p>
      <w:r>
        <w:t>Aus diesem Dokument ist ersichtlich, dass zwischen den Kraftwerkbetreiberinnen im Sinne von aArt. 31b Abs. 2 StromVV, die an die Netzebene 1 (Übertragungsnetz) angeschlossen waren, und der 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Genehmigungsverfügung der Vorinstanz vom 14. April 2011 (Tarifjahr 2009) bzw. einer entsprechenden Genehmigungsverfügung für das Tarifjahr 2010 resultiert. Zwischen den erwähnten Kraftwerkbetreiberinnen und der 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4.3</w:t>
      </w:r>
    </w:p>
    <w:p>
      <w:r>
        <w:t>Aus der Rechtsnatur dieses Verhältnisses folgt zwar, dass es klar von den erwähnten vertraglichen Geschäftsbeziehungen zwischen den betroffenen Kraftwerkbetreiberinnen und der Beschwerdegegnerin zu unterscheiden ist und daher namentlich nicht einfach den für diese Beziehungen geltenden vertraglichen Regeln unterstellt werden darf. Entgegen der Ansicht der Beschwerdeführerinnen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Beschwerdegegnerin selbst regelte. Diese punktuelle Regelung änderte indes nichts daran, dass die Beschwerdegegnerin auch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 was zwischen den Parteien streitig ist - das Verhältnis zwischen den betroffenen Kraftwerkbetreiberinnen und der 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Beschwerdegegnerin nicht mit entsprechenden Leistungen an eine Steuer- oder Veranlagungsbehörde vergleichbar. Sie könnten daher auch nicht den für derartige Leistungen allenfalls geltenden besonderen Regeln unterstellt werden (vgl. E. 9.4.2). Eine Klärung der Frage ist zudem auch wegen des Begehrens auf Zusprechung von Bereicherungszins nicht erforderlich (vgl. E. 13.5.1). Zusätzlicher Verzugszins (Antrag 1)</w:t>
      </w:r>
    </w:p>
    <w:p>
      <w:r>
        <w:rPr>
          <w:b/>
        </w:rPr>
        <w:t>E. 5</w:t>
      </w:r>
    </w:p>
    <w:p>
      <w:r>
        <w:t>Die Beschwerdeführerinnen bringen im Zusammenhang mit ihrem Begehren auf zusätzlichen Verzugszins (vgl. Antrag 1) mehrere Gründe vor, wieso der Verzug bereits mit der Entrichtung (Valutadatum) der SDL-Akontozahlungen eingetreten sei (vgl. dazu nachfolgend E. 6 ff.). Soweit sie sich dabei nicht auf besondere Regeln berufen, gehen sie mit der 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Rückerstattungsforderungen der Beschwerdeführerinnen als privatrechtlich] oder unter Heranziehung dieser Kriterien im öffentlichen Recht [bei einer Qualifikation dieser Forderungen als öffentlich-rechtlich]; vgl. BGE 127 V 377 E. 5e/bb; Urteil des Bundesgerichts 9C_66/2012 vom 25. Juni 2012 E. 3.2; Urteile des Bundesverwaltungsgerichts A-2483/2013 vom 17. März 2014 E. 2.5.3 m.w.H. und A-2619/2009 vom 29. November 2011 E. 5). Nachfolgend ist daher vorab auf diese Bestimmung einzugehen.</w:t>
      </w:r>
    </w:p>
    <w:p>
      <w:r>
        <w:rPr>
          <w:b/>
        </w:rPr>
        <w:t>E. 5.1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5.2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5.3</w:t>
      </w:r>
    </w:p>
    <w:p>
      <w:r>
        <w:t>Neben den vorstehend genannten Fällen kann namentlich - in analoger Anwendung von Art. 108 Ziff. 1 OR - von einer Mahnung abgesehen werden, wenn der Schuldner unmissverständlich erklärt, er werde nicht leisten, und sich eine Mahnung deshalb als überflüssig erweisen würde. Der Eintritt des Verzugs ergibt sich in diesem Fall aus der ratio legis und dem Grundsatz von Treu und Glauben (vgl. zum Ganzen BGE 97 II 58 E. 5; 94 II 26 E. 3a; Wiegand, a.a.O., Art. 102 N. 11 m.w.H.; Schwenzer, a.a.O., Rz. 65.13; ausserdem die Hinweise in E. 11.3.1).</w:t>
      </w:r>
    </w:p>
    <w:p>
      <w:r>
        <w:rPr>
          <w:b/>
        </w:rPr>
        <w:t>E. 6.1</w:t>
      </w:r>
    </w:p>
    <w:p>
      <w:r>
        <w:t>Die Beschwerdeführerinnen bringen zugunsten eines Verzugseintritts im Zeitpunkt der Entrichtung (Valutadatum) der SDL-Akontozahlungen als Erstes vor, die Beschwerdegegnerin habe auf diese Zahlungen die Verfalltagsgeschäfts-Regeln gemäss ihren Allgemeinen Geschäftsbedingungen (AGB) und ihren Rahmenverträgen angewandt, was sie durch widerspruchslose Entgegennahme der entsprechenden Rechnungen akzeptiert hätten. Gemäss den allgemeinen vertraglichen Grundsätzen seien diese Regeln nicht nur für sie verbindlich gewesen, sondern auch für die Beschwerdegegnerin. Sie hätten daher auch für die Rückerstattung der zu Unrecht erbrachten SDL-Akontozahlungen gegolten, weshalb diesbezüglich von einem vertraglich vereinbarten Verfalltagsgeschäft auszugehen sei.</w:t>
      </w:r>
    </w:p>
    <w:p>
      <w:r>
        <w:rPr>
          <w:b/>
        </w:rPr>
        <w:t>E. 6.2</w:t>
      </w:r>
    </w:p>
    <w:p>
      <w:r>
        <w:t>Die Beschwerdegegnerin macht geltend, sie sei gemäss aArt. 31b StromVV in Verbindung mit den Tarifverfügungen der Vorinstanz vom 6. März 2009 und 4. März 2010 verpflichtet gewesen, die SDL-Akontozahlungen in Rechnung zu stellen, und habe weder von der Verordnungsbestimmung noch den beiden Verfügungen abweichen können. Zwischen ihr und den Beschwerdeführerinnen sei daher weder über die Rückerstattung der SDL-Akontozahlungen noch über ein Verfalltagsgeschäft eine Vereinbarung zustande gekommen.</w:t>
      </w:r>
    </w:p>
    <w:p>
      <w:r>
        <w:rPr>
          <w:b/>
        </w:rPr>
        <w:t>E. 6.3</w:t>
      </w:r>
    </w:p>
    <w:p>
      <w:r>
        <w:t>Die Vorinstanz bringt vor, zwischen den Beschwerdeführerinnen und der Beschwerdegegnerin seien weder hinsichtlich der Zahlung der SDL-Akontorechnungen noch bezüglich der Rückerstattung der Akontozahlungen Verfalltagsgeschäfte vereinbart worden. Wie sie bereits in der angefochtenen Verfügung ausgeführt habe, seien die AGB der Beschwerdegegnerin über die Nutzung des Übertragungsnetzes nicht anwendbar; Gleiches gelte für den Rahmenvertrag zur Lieferung von Primärregelleistung.</w:t>
      </w:r>
    </w:p>
    <w:p>
      <w:r>
        <w:rPr>
          <w:b/>
        </w:rPr>
        <w:t>E. 6.4.1</w:t>
      </w:r>
    </w:p>
    <w:p>
      <w:r>
        <w:t>Wie vorstehend dargelegt (vgl. E. 4.2. f.), war das Rechtsverhältnis zwischen den Kraftwerkbetreiberinnen im Sinne von aArt. 31b Abs. 2 StromVV und der 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Es kann daher nicht einfach den für diese Beziehungen geltenden vertraglichen Regeln unterstellt werden (vgl. E. 4.3). Die Beschwerdeführerinnen bestreiten dies im Grundsatz zwar nicht. Sie versuchen aber, eine auf die Frage des Zeitpunkts des Verzugseintritts beschränkte Vereinbarung über die Anwendbarkeit der für die vertraglichen Geschäftsbeziehungen geltenden Regeln zu konstruieren, und zwar sowohl hinsichtlich der SDL-Akontorechnungen als auch - offenbar abgeleitet davon - bezüglich der Rückerstattungsforderungen. Dies vermag nicht zu überzeugen. Zum einen ist nicht ersichtlich, dass zwischen den Beschwerdeführerinnen und der Beschwerdegegnerin ein tatsächlicher Konsens über die Anwendung der für die vertraglichen Geschäftsbeziehungen geltenden Verfalltagsgeschäfts-Regeln auf die SDL-Akontorechnungen bzw. auf allfällige Rückerstattungsforderungen zustande kam. Zum anderen ist die Annahme eines entsprechenden normativen Konsenses mit der erwähnten Rechtsnatur des Verhältnisses nicht vereinbar. Diese spricht vielmehr gerade gegen die Heranziehung der für die vertraglichen Geschäftsbeziehungen geltenden Regeln und damit auch gegen die Heranziehung der entsprechenden Verfalltagsgeschäfts-Regeln. Es geht denn entgegen der Darstellung der Beschwerdeführerinnen aus den Akten auch nicht hervor bzw. ist nicht erstellt, dass die Beschwerdegegnerin von der Geltung dieser Regeln für die Rechnungsstellung für die SDL-Akontozahlungen von Kraftwerkbetreiberinnen im erwähnten Sinn ausging oder sie in einem konkreten Fall auf diese Rechnungen anwandte.</w:t>
      </w:r>
    </w:p>
    <w:p>
      <w:r>
        <w:rPr>
          <w:b/>
        </w:rPr>
        <w:t>E. 6.4.2</w:t>
      </w:r>
    </w:p>
    <w:p>
      <w:r>
        <w:t>Die erwähnten Verfalltagsgeschäfts-Regeln betreffen im Weiteren, soweit sie nicht ohnehin separat vereinbarte Termine voraussetzen, Forderungen, die (von der Beschwerdegegnerin) in Rechnung gestellt werden. Es ist daher nicht ersichtlich, wieso sie auf die Rückerstattungsforderungen der Beschwerdeführerinnen, für die kein separater Zahlungstermin vereinbart wurde und für welche diese auch nicht Rechnung stellten, anwendbar sein sollten. Nicht nachvollziehbar ist zudem, wieso sich aus diesen Regeln ergeben sollte, die Beschwerdegegnerin sei bereits im Zeitpunkt der Entrichtung der SDL-Akontozahlungen, mithin in einem Zeitpunkt, der in diesen Regeln gar nicht vorgesehen ist, in Verzug geraten. Selbst wenn angenommen würde, die Parteien hätten sich auf die Anwendung der für die vertraglichen Beziehungen geltenden Verfalltagsgeschäfts-Regeln geeinigt, könnte dieser Zeitpunkt demnach nicht als vereinbarter Verfalltag gelten. Das entsprechende Vorbringen der Beschwerdeführerinnen erweist sich daher auch insoweit als unzutreffend.</w:t>
      </w:r>
    </w:p>
    <w:p>
      <w:r>
        <w:rPr>
          <w:b/>
        </w:rPr>
        <w:t>E. 7.1</w:t>
      </w:r>
    </w:p>
    <w:p>
      <w:r>
        <w:t>Die Beschwerdeführerinnen berufen sich zugunsten des Verzugseintritts im Zeitpunkt der Entrichtung (Valutadatum) der SDL-Akontozahlungen weiter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Beschwerdeführerinnen handelt die Beschwerdegegnerin insoweit missbräuchlich und ausbeuterisch bzw. will sie insoweit unangemessene Geschäftsbedingungen im Sinne von Art. 7 KG erzwingen, als sie als marktbeherrschendes Unternehmen auf die SDL-Akontorechnungen ihre allgemeinen Verfalltagsgeschäfts-Regeln angewandt habe, diese bezüglich der Rückerstattungsforderungen jedoch einseitig zu ihren Gunsten nicht gelten lassen wolle. Aus dem Kartellrecht ergebe sich demzufolge, dass sie diese Regeln auch gegen sich und damit hinsichtlich der Rückerstattungsforderungen gelten lassen und entsprechend die SDL-Akontozahlungen ab deren Entrichtung verzinsen müsse. Solches ergebe sich auch aus dem Grundsatz von Treu und Glauben gemäss Art. 5 Abs. 3 und Art. 9 BV.</w:t>
      </w:r>
    </w:p>
    <w:p>
      <w:r>
        <w:rPr>
          <w:b/>
        </w:rPr>
        <w:t>E. 7.2</w:t>
      </w:r>
    </w:p>
    <w:p>
      <w:r>
        <w:t>Die Beschwerdegegnerin bringt namentlich vor, die allgemeinen Regeln, die in den vertraglichen Beziehungen zwischen ihr und den Beschwerdeführerinnen gälten, seien auf die SDL-Akontozahlungen nicht anwendbar gewesen, da für eine vertragliche Beziehung in dieser Hinsicht kein Raum bestanden habe (vgl. E. 6.2). Mangels einer derartigen Beziehung komme das KG nicht zur Anwendung. Sollte dieses wider Erwarten doch anwendbar sein, fehlte es an einem missbräuchlichen Verhalten ihrerseits, sei doch keine Benachteiligung der Marktgegenseite ersichtlich bzw. liege kein wettbewerbsrelevanter Sachverhalt im Sinne von Art. 7 Abs. 1 KG vor. Ebenso wenig bestehe eine Situation im Sinne von Art. 7 Abs. 2 Bst. c KG, da diese Bestimmung eine hier nicht vorliegende offensichtliche Ausbeutung verhindern wolle.</w:t>
      </w:r>
    </w:p>
    <w:p>
      <w:r>
        <w:rPr>
          <w:b/>
        </w:rPr>
        <w:t>E. 7.3</w:t>
      </w:r>
    </w:p>
    <w:p>
      <w:r>
        <w:t>Die Vorinstanz macht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Beschwerdeführerinnen verlangten. Art. 7 Abs. 2 Bst. c KG setze als Missbrauchstatbestand im Weiteren unter anderem ein ausbeuterisches Verhalten voraus. Inwiefern ein solches vorliege, wenn für den Beginn des Verzugszinsenlaufs nach den geltenden obligationenrechtlichen Regeln auf ein den Verzug auslösendes Ereignis und nicht auf die Zahlung unter Vorbehalt abgestellt werde, sei nicht ersichtlich.</w:t>
      </w:r>
    </w:p>
    <w:p>
      <w:r>
        <w:rPr>
          <w:b/>
        </w:rPr>
        <w:t>E. 7.4.1</w:t>
      </w:r>
    </w:p>
    <w:p>
      <w:r>
        <w:t>Wie dargelegt (vgl. E. 6.4.1), einigten sich die Beschwerdeführerinnen und die Beschwerdegegnerin weder hinsichtlich der SDL-Akontozahlungen noch bezüglich allfälliger Rückerstattungsforderungen auf die Anwendung der im Rahmen der vertraglichen Beziehungen geltenden Verfalltagsgeschäfts-Regeln. Es kann daher nicht gesagt werden, die Beschwerdegegnerin habe den Abschluss einer entsprechenden Vereinbarung einseitig zu ihren Gunsten nur hinsichtlich der SDL-Akontozahlungen durchgesetzt. Aus den Akten ist weiter nicht ersichtlich und kann entsprechend auch nicht als erstellt gelten, dass sie von der Geltung dieser Regeln für die Rechnungsstellung für die SDL-Akontozahlungen ausging oder sie in einem konkreten Fall darauf anwandte. Es kann ihr daher auch nicht vorgeworfen werden, sie habe diese Regeln einseitig zu ihren Gunsten für sich in Anspruch genommen, wolle sie für die Rückerstattungsforderungen der Beschwerdeführerinnen nunmehr jedoch nicht gelten lassen. Ihr Standpunkt, diese Regeln fänden auf diese Forderungen keine Anwendung, kann demnach bereits aus diesem Grund nicht als missbräuchlich im Sinne von Art. 7 Abs. 1 KG bzw. als auf die Erzwingung unangemessener Geschäftsbedingungen im Sinne von Art. 7 Abs. 2 Bst. c KG gerichtet qualifiziert werden. Auch kann bereits aus diesem Grund nicht gesagt werden, er verletze den Grundsatz von Treu und Glauben gemäss Art. 5 Abs. 3 und Art. 9 BV.</w:t>
      </w:r>
    </w:p>
    <w:p>
      <w:r>
        <w:rPr>
          <w:b/>
        </w:rPr>
        <w:t>E. 7.4.2</w:t>
      </w:r>
    </w:p>
    <w:p>
      <w:r>
        <w:t>Nicht ersichtlich bzw. nicht nachvollziehbar ist sodann, wieso die Verfalltagsgeschäfts-Regeln auf die Rückerstattungsforderungen der Beschwerdeführerinnen anwendbar sein sollten bzw. wieso sich daraus ergeben sollte, die Beschwerdegegnerin sei bereits im Zeitpunkt der Entrichtung der SDL-Akontozahlungen durch die Beschwerdeführerinnen in Verzug geraten (vgl. E. 6.4.2). Selbst wenn angenommen würde, die Beschwerdegegnerin habe diese Regeln für sich in Anspruch genommen und handle kartellrechts- und treuwidrig, wenn sie sie nicht auch gegen sich gelten lasse, ergäbe sich daraus daher nicht, dass die SDL-Akontozahlungen ab dem Zeitpunkt ihrer Entrichtung zu verzinsen wären. Das Vorbringen der Beschwerdeführerinnen erweist sich somit auch insoweit als unzutreffend, weshalb nicht weiter darauf eingegangen zu werden braucht.</w:t>
      </w:r>
    </w:p>
    <w:p>
      <w:r>
        <w:rPr>
          <w:b/>
        </w:rPr>
        <w:t>E. 8.1</w:t>
      </w:r>
    </w:p>
    <w:p>
      <w:r>
        <w:t>Die Beschwerdeführerinnen berufen sich zugunsten des Verzugseintritts im Zeitpunkt der Entrichtung (Valutadatum) der SDL-Akontozahlungen ausserdem auf eine analoge Anwendung der steuerrechtlichen Prinzipien betreffend die Rückerstattung zu viel bezahlter Beträge, wie sie exemplarisch aus Art. 5 der Verordnung des Eidgenössischen Finanzdepartements EFD vom 10. Dezember 1992 über die Fälligkeit und Verzinsung der direkten Bundessteuer (SR 642.124; nachfolgend: FVV) hervorgingen. Die Spezialregelung des Bundessteuerrechts stelle zwar keinen allgemeingültigen öffentlichen-rechtlichen Grundsatz auf. Sie zeige jedoch, dass im öffentlichen Recht zu viel bezahlte Beträge mit Verzugszins zurückzuerstatten seien und der Zins ab Zahlungseingang bei der Behörde geschuldet sei. Eine analoge Heranziehung der steuerrechtlichen Prinzipien auf den vorliegenden Fall sei insbesondere aufgrund der konzeptionellen Ähnlichkeit der beiden Konstellationen angezeigt. Sowohl im Steuerrecht als auch bei den Beiträgen an die SDL-Kosten sei es systemimmanent, dass es zu Rückzahlungen oder zusätzlichen Forderungen komme, da eine definitive Abrechnung erst nach Abschluss des Steuer- bzw. Tarifjahrs erfolge.</w:t>
      </w:r>
    </w:p>
    <w:p>
      <w:r>
        <w:rPr>
          <w:b/>
        </w:rPr>
        <w:t>E. 8.2</w:t>
      </w:r>
    </w:p>
    <w:p>
      <w:r>
        <w:t>Die Vorinstanz führt in der angefochtenen Verfügung aus, aus der Spezialregelung des Bundessteuerrechts könne kein allgemeingültiger öffentlich-rechtlicher Grundsatz abgeleitet werden. Im Steuerrecht sei es systemimmanent, dass sich zwischen der provisorischen und der definitiven Veranlagungsverfügung Differenzen ergäben, die nachträglich auszugleichen seien. Dem Steuerpflichtigen zurückerstattete Beträge würden nach Art. 168 Abs. 2 DBG (SR 642.11) ab dem Zeitpunkt ihrer Zahlung verzinst, sofern seit dieser mehr als 30 Tage vergangen seien. Der Gesetzgeber habe somit bewusst darauf verzichtet, hinsichtlich der Zinspflicht des Staates auf eine Mahnung oder ein anderes den Zinsenlauf auslösendes Ereignis abzustellen. Vorausgesetzt sei stattdessen, dass aufgrund einer definitiven oder provisorischen Steuerrechnung ein Zahlungszwang bestanden habe und bei verspätetem Zahlungseingang ein Verzugszins erhoben worden wäre. Art. 5 FVV betreffe demnach gerade keine Verzugszinskonstellation, weshalb darin konsequenterweise auch nicht von "Verzugszins", sondern ausdrücklich von "Rückerstattungszins" die Rede sei. Diese sehr spezifische Bestimmung sei bewusst für steuerrechtliche Konstellationen geschaffen worden; auf andere Normenbereiche könne sie hingegen nicht angewandt werden.</w:t>
      </w:r>
    </w:p>
    <w:p>
      <w:r>
        <w:rPr>
          <w:b/>
        </w:rPr>
        <w:t>E. 8.3.1</w:t>
      </w:r>
    </w:p>
    <w:p>
      <w:r>
        <w:t>Gemäss dem Recht der direkten Bundessteuer hat die steuerpflichtige Person auf Beträgen, die sie nicht fristgemäss entrichtet, einen Verzugszins zu bezahlen (vgl. Art. 164 Abs. 1 DBG; Art. 3 FVV). Dies gilt namentlich, wenn sie (provisorische oder definitive) Steuerrechnungen nicht innert 30 Tagen seit deren Zustellung bezahlt (vgl. Art. 3 Abs. 1 Bst. a FVV). Im Gegenzug hat sie Anrecht auf eine Verzinsung von Beträgen, die ihr zurückzuerstatten sind, weil sich deren Bezahlung als nicht gerechtfertigt erweist. Dies gilt zum einen für Beträge, die wegen des Bezugsystems zu viel bezahlt wurden - etwa weil beim provisorischen Bezug von einem zu hohen mutmasslichen Steuerbetrag ausgegangen wurde oder weil die definitive Steuerrechnung einen Betrag nannte, der mit einem Rechtsmittelentscheid herabgesetzt wurde -, und zum anderen für Beträge, die rechtskräftig veranlagt wurden, jedoch nicht geschuldet waren (vgl. Richner/Frei/Kaufmann/Meuter, Handkommentar zum DBG, 2. Aufl. 2009, Art. 162 N. 12). Während Art. 162 Abs. 3 DBG für erstere Beträge festhält, das EFD bestimme, inwieweit sie verzinst werden, sind letztere Beträge nach Art. 168 Abs. 2 DBG vom Zeitpunkt ihrer Zahlung an zu einem vom EFD festzusetzenden Zinssatz zu verzinsen, wenn seit dieser mehr als 30 Tage vergangen sind. Das EFD hat die Frage in Art. 5 FVV (weiter) geregelt. Danach wird auf Beträgen, die wegen der nachträglichen Herabsetzung der definitiven oder provisorischen Steuerrechnung zurückzuerstatten sind, der "Rückerstattungszins" gewährt (Abs. 1). Der Zinssatz entspricht dabei dem Verzugszinssatz nach Art. 3 Absatz 2 FVV (Abs. 2), mithin jenem Zinssatz, den das EFD für jedes Kalenderjahr festsetzt.</w:t>
      </w:r>
    </w:p>
    <w:p>
      <w:r>
        <w:rPr>
          <w:b/>
        </w:rPr>
        <w:t>E. 8.3.2</w:t>
      </w:r>
    </w:p>
    <w:p>
      <w:r>
        <w:t>Obschon in Art. 5 FVV abweichend von Art. 163 Abs. 2 DBG und Art. 4 FVV, die den "Vergütungszins" auf Zahlungen der steuerpflichtigen Person vor dem Fälligkeitstermin regeln, von "Rückerstattungszins" die Rede ist, handelt es sich auch bei diesem Zins der Sache nach um einen Vergütungszins, ist darunter doch (namentlich) auch jener Zins zu verstehen, der zugunsten einer steuerpflichtigen Person besteht, die einen Steuerbetrag zu Unrecht bezahlt hat (vgl. Urteile des Bundesgerichts 2C_411/2008 vom 28. Oktober 2008 E. 3.2, 2C_410/2008 vom 28. Oktober 2008 E. 3.2 und 2C_191/2007 vom 11. Oktober 2007 E. 3.2; Urteil des Bundesverwaltungsgerichts A-2483/2013 vom 17. März 2014 E. 2.3.5). Dieser Zins ist entgegen der Ansicht der Beschwerdeführerinnen klar vom Verzugszins zu unterscheiden. Anders als dieser ist er wirtschaftlich motiviert und setzt insbesondere keinen Verzug der Verwaltung voraus (vgl. die vorstehenden Zitate). Art. 5 FVV betrifft demnach, wie die Vorinstanz zutreffend ausführt, gerade keine Verzugszinssituation. Gleiches gilt für andere derartige Bestimmungen des Bundessteuerrechts. Soweit die Beschwerdeführerinnen den Rückerstattungszins von Art. 5 FVV als Verzugszins qualifizieren und unter exemplarischem Verweis auf diese Bestimmung bzw. die "steuerrechtlichen Prinzipien" betreffend die Rückerstattung zu viel bezahlter Beträge geltend machen, der Lauf der Verzugszinsen habe im Zeitpunkt der Entrichtung der SDL-Akontozahlungen begonnen, erweist sich dies daher von vornherein als unzutreffend.</w:t>
      </w:r>
    </w:p>
    <w:p>
      <w:r>
        <w:rPr>
          <w:b/>
        </w:rPr>
        <w:t>E. 9.1</w:t>
      </w:r>
    </w:p>
    <w:p>
      <w:r>
        <w:t>Die Beschwerdeführerinnen machen zugunsten des Verzugseintritts im Zeitpunkt der Entrichtung (Valutadatum) der SDL-Akontozahlungen schliesslich geltend,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seien die Vorbehalte, die sie mit den SDL-Akontozahlungen verbunden habe, als Mahnungen zu qualifizieren. Dafür spreche insbesondere auch der Umstand, dass sich ihre Situation gleich präsentiert habe, wie wenn die Vorinstanz selbst die SDL-Akontorechnungen gestellt hätte, eigentliche Mahnschreiben sich mithin nicht aufgedrängt hätten, da der im Subordinationsverhältnis stehende Rechtsunterworfene der Behörde üblicherweise keine solchen Schreiben zustelle, sondern deren Zinspflicht - wie dies im Abgaberecht gesetzlich vorgesehen sei - automatisch mit der Leistung der geforderten, aber nicht geschuldeten Abgabe ausgelöst werde.</w:t>
      </w:r>
    </w:p>
    <w:p>
      <w:r>
        <w:rPr>
          <w:b/>
        </w:rPr>
        <w:t>E. 9.2</w:t>
      </w:r>
    </w:p>
    <w:p>
      <w:r>
        <w:t>Die Beschwerdegegnerin ist der Ansicht, die Beschwerdeführerinnen könnten aus BGE 95 I 258 nichts zu ihren Gunsten ableiten, da der vorliegend zu beurteilende Sachverhalt anders gelagert sei. Zunächst sei sie hinsichtlich der Rechnungsstellung für die SDL-Akontozahlungen nicht verfügungsbefugt gewesen und habe diesbezüglich auch keinen Handlungsspielraum gehabt; vielmehr habe sie die Tarifverfügungen der Vorinstanz vom 6. März 2009 und 4. März 2010 vollzogen. Weiter gehe es nicht um die Höhe der zu tragenden SDL-Kosten, sondern um die Kostentragungspflicht als solche. Schliesslich seien den betroffenen Kraftwerkbetreiberinnen mit den SDL-Akontorechnungen nicht die (vermeintlichen) definitiven SDL-Kostenbeiträge in Rechnung gestellt worden.</w:t>
      </w:r>
    </w:p>
    <w:p>
      <w:r>
        <w:rPr>
          <w:b/>
        </w:rPr>
        <w:t>E. 9.3</w:t>
      </w:r>
    </w:p>
    <w:p>
      <w:r>
        <w:t>Die Vorinstanz führt in der angefochtenen Verfügung aus, der von den Beschwerdeführerinnen zitierte Bundesgerichtsentscheid sei vor über 40 Jahren ergangen. Es handle sich um einen Einzelfallentscheid in einem spezifischen Normenbereich, der vom Bundesgericht für andere Bereiche bislang nicht bestätigt worden sei. Eine konstante und fortwährende bundesgerichtliche Praxis, die den Beginn des Zinsenlaufs in einer Konstellation wie der vorliegenden im Sinne der Beschwerdeführerinnen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w:t>
      </w:r>
    </w:p>
    <w:p>
      <w:r>
        <w:rPr>
          <w:b/>
        </w:rPr>
        <w:t>E. 9.4.1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5.1).</w:t>
      </w:r>
    </w:p>
    <w:p>
      <w:r>
        <w:rPr>
          <w:b/>
        </w:rPr>
        <w:t>E. 9.4.2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4.3), bestand zwischen der Beschwerdegegnerin und den Beschwerdeführerinnen hinsichtlich der (vermeintlichen) Beitragspflicht nach aArt. 31b Abs. 2 StromVV bzw. der entsprechenden Akontozahlungen kein Subordinations- resp. kein abgaberechtliches Verhältnis. Die Beschwerdegegnerin war gegenüber den Beschwerdeführerinnen nicht zu hoheitlichem Handeln befugt und hatte keine Verfügungskompetenz. Sie stand ihnen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Beschwerdeführerinnen zur Bezahlung der SDL-Akontorechnungen aus öffentlich-rechtlichen Vorgaben, namentlich den Tarifverfügungen der Vorinstanz vom 6. März 2009 und 4. März 2010 ergab, sind die rechtsgrundlos erfolgten Akontozahlungen wegen der rechtlichen Stellung der Beschwerdegegnerin bzw. der Rechtsnatur des zwischen dieser und den Beschwerdeführerinnen bestehenden Verhältnisses daher nicht mit der Leistung des Beschwerdeführers in BGE 95 I 258 an die Veranlagungsbehörde zu vergleichen. Sie könnten deshalb auch nicht dieser Rechtsprechung unterstellt werden, hätte dies doch zur Folge, dass die Beschwerdegegnerin wie eine Steuer- oder Veranlagungsbehörde bzw. wie eine hoheitlich handelnde Leistungs-empfängerin behandelt würde, obschon sie dies gerade nicht ist.</w:t>
      </w:r>
    </w:p>
    <w:p>
      <w:r>
        <w:rPr>
          <w:b/>
        </w:rPr>
        <w:t>E. 9.4.3</w:t>
      </w:r>
    </w:p>
    <w:p>
      <w:r>
        <w:t>Damit erweist sich auch dieses Vorbringen der Beschwerdeführerinnen als unzutreffend. Soweit diese geltend machen, der Verzug der Beschwerdegegnerin sei bereits im Zeitpunkt der Entrichtung (Valutadatum) der SDL-Akontozahlungen eingetreten, ist dies daher zurückzuweisen. Ihr Antrag auf zusätzlichen Verzugszins ab diesem Zeitpunkt ist entsprechend abzuweisen. Ergänzender Bereicherungszins (Eventualanträge)</w:t>
      </w:r>
    </w:p>
    <w:p>
      <w:r>
        <w:rPr>
          <w:b/>
        </w:rPr>
        <w:t>E. 10</w:t>
      </w:r>
    </w:p>
    <w:p>
      <w:r>
        <w:t>Im Zusammenhang mit den verschiedenen Eventualanträgen der Beschwerdeführerinnen stellt sich einerseits die Frage, ob für den Verzugseintritt von einem früheren Zeitpunkt auszugehen ist, als ihn die Vorinstanz in der angefochtenen Verfügung als massgeblich erachtete. Andererseits ist zu prüfen, ob den Beschwerdeführerinnen ab der Entrichtung (Valutadatum) der SDL-Akontozahlungen bis zum massgeblichen späteren Zeitpunkt des Verzugseintritts Bereicherungszins zusteht. Nachfolgend wird zunächst auf die erste Frage (vgl. E. 10.1 ff. und E. 11 f.), anschliessend auf die zweite (vgl. E. 13) eingegangen. Verzugseintritt</w:t>
      </w:r>
    </w:p>
    <w:p>
      <w:r>
        <w:rPr>
          <w:b/>
        </w:rPr>
        <w:t>E. 10.1</w:t>
      </w:r>
    </w:p>
    <w:p>
      <w:r>
        <w:t>Die Beschwerdeführerinnen bringen im Zusammenhang mit ihrem Eventualbegehren (Eventualantrag 1) vor, sollten die Zahlungsvorbehalte nicht als Mahnungen qualifiziert werden, seien sie jedenfalls als Verfalltagsvereinbarung zu interpretieren. Dies in dem Sinne, dass gegebenenfalls jener Tag als Verfalltag gelte, an dem die Rechtsgrundlage für die SDL-Akontozahlungen als rechtswidrig qualifiziert werde. Mit Urteil A-2607/2009 vom 8. Juli 2010 habe das Bundesverwaltungsgericht dies getan und entschieden, aArt. 31b Abs. 2 StromVV sei mit Gesetz und Verfassung nicht vereinbar. Ab diesem Zeitpunkt sei die Beschwerdegegnerin folglich ohne weitere Mahnung zur Rückerstattung der SDL-Akontozahlungen verpflichtet gewesen.</w:t>
      </w:r>
    </w:p>
    <w:p>
      <w:r>
        <w:rPr>
          <w:b/>
        </w:rPr>
        <w:t>E. 10.2</w:t>
      </w:r>
    </w:p>
    <w:p>
      <w:r>
        <w:t>Die Vorinstanz bestreitet unter Verweis auf ein Schreiben der Beschwerdeführerin 11, worin diese hinsichtlich ihrer Pflicht zur Leistung von SDL-Akontozahlungen einen Vorbehalt erklärt, dass eine Verfalltagsvereinbarung im Sinne der Beschwerdeführerinnen zustande kam. Aus diesem Schreiben gehe nicht unmissverständlich hervor, dass die Beschwerdegegnerin die SDL-Akontozahlungen an einem bestimmten Tag - etwa am Tag eines zugunsten der Beschwerdeführerin 11 ausfallenden Gerichtsentscheids - zurückzuzahlen habe. Die Beschwerdeführerin 11 behalte sich das Rückforderungs- bzw. Verrechnungsrecht vielmehr lediglich vor. Da keine Willensäusserung der Beschwerdeführerin 11 bezüglich eines konkreten Verfalltags vorliege, könne von vornherein nicht von einem entsprechenden Konsens ausgegangen werden. Selbst wenn im Übrigen von einem derartigen Konsens ausgegangen würde, könnten die Beschwerdeführerinnen daraus nichts zu ihren Gunsten ableiten, da in Bezug auf nicht bereits mit dem Urteil A-2607/2009 des Bundesverwaltungsgerichts festgestanden sei, dass sie keine Beiträge an die SDL-Kosten zu leisten hätten.</w:t>
      </w:r>
    </w:p>
    <w:p>
      <w:r>
        <w:rPr>
          <w:b/>
        </w:rPr>
        <w:t>E. 10.3.1</w:t>
      </w:r>
    </w:p>
    <w:p>
      <w:r>
        <w:t>Mit Ausnahme der Beschwerdeführerin 10 - bei der indes von einem gleichlautenden Vorbehalt auszugehen ist - reichten sämtliche Beschwerdeführerinnen im vorliegenden Beschwerdeverfahren mindestens ein Schreiben an die Beschwerdegegnerin aus der Zeit vor dem Ergehen des Urteils A-2607/2009 des Bundesverwaltungsgerichts ein, aus dem sich die von ihnen geltend gemachte Verfalltagsvereinbarung ergeben soll. In den im Wesentlichen übereinstimmenden Schreiben weisen die Beschwerdeführerinnen zunächst darauf hin, sie beglichen die konkret betroffenen SDL-Akontorechnungen nur unter ausdrücklichem Vorbehalt und ohne Anerkennung einer Schuldpflicht. Der Vorbehalt beziehe sich auf allfällige Rechts- und Schiedsverfahren oder sonstige Rechtsbehelfe irgendwelcher Art, die das Inkasso überhöhter Rechnungen durch die Beschwerdegegnerin unter dem Titel Systemdienstleistungen feststellten. Anschliessend halten sie fest, es könne ihnen dereinst keine freiwillige Bezahlung einer Nichtschuld im Sinne von Art. 63 Abs. 1 OR entgegengehalten werden und sie behielten sich ausdrücklich ein Rückforderungs- bzw. Verrechnungsrecht bezüglich allenfalls zu viel bezahlter Beträge bei künftigen Rechnungen vor.</w:t>
      </w:r>
    </w:p>
    <w:p>
      <w:r>
        <w:rPr>
          <w:b/>
        </w:rPr>
        <w:t>E. 10.3.2</w:t>
      </w:r>
    </w:p>
    <w:p>
      <w:r>
        <w:t>Aus diesen Schreiben geht nicht hervor, dass die Beschwerdegegnerin ihr bezahlte SDL-Akontobeträge ohne Mahnung zurückzuerstatten habe, wenn in einem Verfahren festgestellt werden sollte, sie seien zu Unrecht entrichtet worden. Vielmehr legen sie nahe, die Beschwerdeführerinnen würden die entsprechenden Beträge in einem solchen Fall ausdrücklich zurückfordern oder sie von künftigen Rechnungsbeträgen in Abzug bringen. Die Schreiben lassen somit sowohl offen, ob die Beschwerdegegnerin solche Beträge überhaupt zurückzahlen müsste - oder die Beschwerdeführerinnen sie stattdessen verrechnen würden -, als auch, wann die Rückzahlung gegebenenfalls zu erfolgen hätte. Sie können daher - wie die Vorinstanz zu Recht einwendet - nicht dahingehend interpretiert werden, die Beschwerdeführerinnen verlangten die Rückerstattung solcher Beträge zu einem bestimmten Zeitpunkt bzw. an einem bestimmten Tag. Schon gar nicht kann daraus gefolgert werden, der massgebliche Zeitpunkt sei der Tag des Ergehens des Urteils A-2607/2009 des Bundesverwaltungsgerichts. Dies, da sich auch nach dem Ergehen dieses Urteils in den vereinzelt eingereichten Schreiben betreffend SDL-Akontorechnungen die Formulierung findet, es könne nicht von einer freiwilligen Bezahlung einer Nichtschuld ausgegangen werden und ein Rückforderungs- bzw. Verrechnungsrecht bezüglich allenfalls zu viel bezahlter Beträge werde ausdrücklich vorbehalten, mithin die gleiche Formulierung, die die Beschwerdeführerinnen zur Begründung des von ihnen bevorzugten Verfalltags heranziehen. Mangels einer entsprechenden Willensäusserung können die Vorbehaltsschreiben von vornherein nicht als Grundlage für eine Verfalltagsvereinbarung herangezogen werden, wie sie die Beschwerdeführerinnen geltend machen. Deren Vorbringen erweist sich damit bereits aus diesem Grund als unzutreffend, weshalb nicht weiter darauf eingegangen zu werden braucht.</w:t>
      </w:r>
    </w:p>
    <w:p>
      <w:r>
        <w:rPr>
          <w:b/>
        </w:rPr>
        <w:t>E. 11.1</w:t>
      </w:r>
    </w:p>
    <w:p>
      <w:r>
        <w:t>Die Beschwerdeführerinnen machen im Zusammenhang mit ihrem Subeventual- bzw. Subsubeventualbegehren (Eventualanträge 2 und 3) weiter geltend, der Verzug sei bereits am 18. August 2010 bzw. am 11. November 2010 eingetreten. Zur Begründung verweisen sie auf zwei entsprechend datierte Schreiben der Beschwerdegegnerin, in denen diese sie über die Folgen des Urteils des Bundesverwaltungsgerichts A-2607/2009 vom 8. Juli 2010 informierte. Ihrer Ansicht nach geht aus diesen Schreiben - sowie aus einer Pressemitteilung der Beschwerdegegnerin vom 19. August 2010 - hervor, dass die Beschwerdegegnerin eine Rückerstattung der SDL-Akontozahlungen für die Jahre 2009 und 2010 an jene Kraftwerkbetreiberinnen, die gegen die Tarifverfügungen der Vorinstanz vom 6. März 2009 und 4. März 2010 keine Beschwerde erhoben hatten, verweigere. Nach der Praxis des Bundesgerichts und allgemein vorherrschender Rechtsauffassung bedürfe es für eine gültige Leistungsverweigerung im Sinne von Art. 108 OR keiner in bestimmter Form an den Schuldner gerichteten Erklärung. Vielmehr genüge es, wenn sich die Leistungsverweigerung aus dessen Verhalten bzw. aus den Umständen ergebe, was hier der Fall sei.</w:t>
      </w:r>
    </w:p>
    <w:p>
      <w:r>
        <w:rPr>
          <w:b/>
        </w:rPr>
        <w:t>E. 11.2</w:t>
      </w:r>
    </w:p>
    <w:p>
      <w:r>
        <w:t>Die Vorinstanz führt in der angefochtenen Verfügung aus, erkläre der Schuldner unmissverständlich, dass er nicht leisten werde, erweise sich die Mahnung als überflüssig und trete der Verzug nach Abgabe der entsprechenden Erklärung ein. Erforderlich sei eine eindeutige und definitive Verweigerungserklärung. Die Aufforderung zur Leistungserfüllung müsste sich im konkreten Fall ohne Zweifel als zwecklos erweisen. Aus dem Schreiben der Beschwerdegegnerin vom 11. November 2010 - die Vorinstanz äussert sich nur zu diesem Schreiben - gehe lediglich implizit hervor, dass diese zum damaligen Zeitpunkt irrtümlicherweise annahm, die Beschwerdeführerinnen hätten ihr gegenüber keinen Anspruch auf Rückerstattung der im Jahr 2009 geleisteten SDL-Akontozahlungen. Dass sie die Rückzahlung der Akontozahlungen in jedem Fall verweigern werde, ergebe sich daraus hingegen nicht, bringe sie dies doch nicht unmissverständlich zum Ausdruck. Die Beschwerdeführerinnen hätten solches daher auch nicht ohne Zweifel annehmen dürfen. Dies gelte umso mehr, als die Beschwerdegegnerin im Schreiben einleitend ausführe, hinsichtlich der SDL-Restkostenabrechnung seien noch einige zu klärende Punkte offen.</w:t>
      </w:r>
    </w:p>
    <w:p>
      <w:r>
        <w:rPr>
          <w:b/>
        </w:rPr>
        <w:t>E. 11.3.1</w:t>
      </w:r>
    </w:p>
    <w:p>
      <w:r>
        <w:t>Wie erwähnt (vgl. E. 5.3), kann in analoger Anwendung von Art. 108 Ziff. 1 OR von der nach Art. 102 Abs. 1 OR grundsätzlich erforderlichen Mahnung abgesehen werden, wenn der Schuldner unmissverständlich erklärt, er werde nicht leisten, und sich eine Mahnung deshalb als überflüssig erweisen würde. Gleiches gilt - wie die Beschwerdeführerinnen zu Recht vorbringen -, wenn das Verhalten des Schuldners auch ohne eine solche Erklärung eine Mahnung als sinnlos erscheinen lässt (vgl. BGE 97 II 58 E. 5; Kren Kostkiewicz, a.a.O., Art. 102 N. 9). Voraussetzung ist dabei jeweils, dass die definitive Leistungsverweigerung klar bzw. eindeutig ist (vgl. BGE 97 II 58 E. 5; Wiegand, a.a.O., Art. 102 N. 11 und Art. 108 N. 2).</w:t>
      </w:r>
    </w:p>
    <w:p>
      <w:r>
        <w:rPr>
          <w:b/>
        </w:rPr>
        <w:t>E. 11.3.2</w:t>
      </w:r>
    </w:p>
    <w:p>
      <w:r>
        <w:t>Im Schreiben vom 18. August 2010 mit dem Betreff "Kostenverrechnung Systemdienstleistungen für das Jahr 2011" informiert die Beschwerdegegnerin über das Urteil des Bundesverwaltungsgerichts A-2607/2009 vom 8. Juli 2010 und erläutert dessen Folgen für die Anlastung der SDL-Kosten. Ausserdem zeigt sie die Entwicklung dieser Kosten auf und spricht sich für Massnahmen zu deren Reduktion aus. Im Rahmen ihrer Ausführungen geht sie namentlich auf die Tarifjahre 2009 und 2010 ein. Sie weist dabei insbesondere darauf hin, dass sie einen Teil der Beträge, die die Kraftwerkbetreiberinnen nach aArt. 31b Abs. 2 StromVV für diese Jahre geleistet hätten, zurückzahlen und infolgedessen den Endverbrauchern anlasten müsse. Dies betreffe jene Kraftwerkbetreiberinnen, die durch Urteile des Bundesverwaltungsgerichts entsprechend berechtigt seien. Zeitpunkt und Modalitäten der Rückvergütungen seien Gegenstand von Abklärungen. Die mit "Systemdienstleistungstarife für das Jahr 2011" betitelte Pressemitteilung der Beschwerdegegnerin vom 19. August 2010 stimmt inhaltlich weitgehend mit dem Schreiben vom 18. August 2010 überein. Insbesondere geht die Beschwerdegegnerin auch darin auf die "Rückabwicklung von Restkosten aus den Jahren 2009 und 2010" ein. Im Unterschied zum Schreiben vom 18. August 2010 erwähnt sie allerdings nicht, welchen Kraftwerkbetreiberinnen sie - ihrer Ansicht nach - Rückzahlungen leisten muss. Im Schreiben vom 11. November 2010 mit dem Betreff "SDL-Restkostenverrechnung an Kraftwerke mit mindestens 50 MW Leistung" weist die Beschwerdegegnerin einleitend darauf hin, dass in der Zwischenzeit einige Punkte geklärt worden, einige zu klärende Punkte aber nach wie vor offen seien. Anschliessend informiert sie im Wesentlichen über die Folgen des erwähnten Urteils des Bundesverwaltungsgerichts für die betroffenen Kraftwerkbetreiberinnen für die Tarifjahre 2009 und 2010. Unter Verweis auf das Urteil führt sie namentlich aus, die "SDL-Restkostenverrechnung" - d.h. die Regelung nach aArt. 31b Abs. 2 StromVV - bleibe für die nicht beschwerdeführenden Kraftwerkbetreiberinnen und insoweit auch für sie verbindlich. Weiter hält sie fest, Anspruch auf eine Rückerstattung der SDL-Akontozahlungen für das Jahr 2009 hätten nur jene Kraftwerkbetreiberinnen, die gegen die Tarifverfügung der Vorinstanz vom 6. März 2009 Beschwerde erhoben hätten und deren Beschwerden vom Bundesverwaltungsgericht rechtskräftig gutgeheissen worden seien. Hinsichtlich des Jahres 2010 führt sie aus, die "SDL-Restkostenverrechnung" bleibe sistiert, bis die Vorinstanz geklärt habe, wie mit der Tarifverfügung vom 4. März 2010 zu verfahren sei. Um die Kostenanteile für das Jahr 2010 für die nicht beschwerdeführenden Kraftwerkbetreiberinnen berechnen zu können, benötige sie (allerdings) weiterhin die per Selbstdeklaration erhobenen Bruttoproduktionsmengen aller betroffenen Kraftwerke.</w:t>
      </w:r>
    </w:p>
    <w:p>
      <w:r>
        <w:rPr>
          <w:b/>
        </w:rPr>
        <w:t>E. 11.3.3</w:t>
      </w:r>
    </w:p>
    <w:p>
      <w:r>
        <w:t>Aus dem Schreiben vom 18. August 2010 und der Pressemitteilung vom darauf folgenden Tag, insbesondere aber aus dem Schreiben vom 11. November 2010 geht zwar hervor, dass die Beschwerdegegnerin davon ausging, sie sei nur gegenüber jenen Kraftwerkbetreiberinnen zur Rückerstattung der SDL-Akontozahlungen verpflichtet, die gegen die Tarifverfügungen der Vorinstanz vom 6. März 2009 und 4. März 2010 Beschwerde erhoben hatten und mit ihren Beschwerden durchgedrungen waren oder noch durchdringen würden. Diese Auffassung basierte allerdings - wie sich aus den drei Dokumenten ebenfalls ergibt - einzig auf einer Beurteilung der Rechtslage im jeweiligen Moment und zog namentlich (mögliche) rechtliche Schritte der Kraftwerkbetreiberinnen, die gegen die Tarifverfügungen keine Beschwerde erhoben hatten, insbesondere (allfällige) Wiedererwägungsgesuche, nicht mit ein. Es kann daher nicht gesagt werden, die Beschwerdegegnerin habe in diesen Dokumenten eine Rückerstattungspflicht gegenüber diesen Kraftwerkbetreiberinnen bereits endgültig verneint bzw. eine Rückerstattung (implizit) nicht bloss für den jeweiligen Moment, sondern definitiv verweigert. Solches ergibt sich im Übrigen - soweit ersichtlich - auch nicht aus ihrem sonstigen Verhalten. Auch wenn die Beschwerdeführerinnen aufgrund der drei Dokumente davon ausgehen durften, die Beschwerdegegnerin werde zur Zeit keine Rückerstattungen leisten, konnten sie somit nicht ausschliessen, dass sie es zu einem späteren Zeitpunkt doch tun werde. Sie hätten sie daher mahnen bzw. ihr unmissverständlich klar machen müssen, dass sie die Rückerstattung unverzüglich und nicht erst in einem allfälligen späteren Zeitpunkt verlangten (vgl. E. 5.1). Dadurch wäre für die Beschwerdegegnerin auch klar gewesen, dass sie, wenn sie die Rückerstattung für den Moment verweigerte, im Falle des Bestehens einer Rückerstattungspflicht allenfalls bereits ab dem Zeitpunkt der Mahnung würde Verzugszinsen entrichten müssen. Es kann demnach nicht gesagt werden, die drei Dokumente oder das sonstige Verhalten der Beschwerdegegnerin hätten eine Mahnung überflüssig gemacht bzw. das Erfordernis einer Mahnung sei mit Treu und Glauben nicht vereinbar gewesen. Ein Abstellen auf die von den Beschwerdeführerinnen geltend gemachten früheren Verzugszeitpunkte kommt daher nicht in Frage.</w:t>
      </w:r>
    </w:p>
    <w:p>
      <w:r>
        <w:rPr>
          <w:b/>
        </w:rPr>
        <w:t>E. 12.1</w:t>
      </w:r>
    </w:p>
    <w:p>
      <w:r>
        <w:t>Die Beschwerdeführerinnen bringen im Zusammenhang mit ihrem Subsubsubeventualbegehren (Eventualantrag 4) schliesslich vor, der Verzug sei an jenem Tag eingetreten, an dem die Vorinstanz auf ein Wiedererwägungsgesuch von nicht beschwerdeführenden Kraftwerkbetreiberinnen nicht eingetreten sei (13. Januar 2011). Mit diesem Entscheid und dessen Kommunikation im Newsletter 01/2011 vom 24. Januar 2011 der Vorinstanz sei der Beschwerdegegnerin keine Möglichkeit verblieben, die SDL-Akontozahlungen zurückzuzahlen. Die Vorinstanz habe damit vielmehr Umstände geschaffen, die die frühere Leistungsverweigerung der Beschwerdegegnerin unmissverständlich bestätigt hätten. Eine Mahnung sei daher nach Art. 108 Ziff. 1 OR unnütz gewesen.</w:t>
      </w:r>
    </w:p>
    <w:p>
      <w:r>
        <w:rPr>
          <w:b/>
        </w:rPr>
        <w:t>E. 12.2</w:t>
      </w:r>
    </w:p>
    <w:p>
      <w:r>
        <w:t>Zwar trifft es zu, dass die Beschwerdeführerinnen damit rechnen mussten, die Beschwerdegegnerin werde sich durch den Entscheid der Vorinstanz und dessen Kommunikation im Newsletter in ihrer Ansicht, sie sei ihnen gegenüber nicht zur Rückerstattung der SDL-Akontozahlungen verpflichtet, bestätigt fühlen und einer Aufforderung zur Rückerstattung der SDL-Akontozahlungen nun erst Recht keine Folge leisten. Von Dritten geschaffene Umstände, die - in Kombination mit früheren Erklärungen oder Verhaltensweisen des Schuldners - eine Leistungsverweigerung für die Zukunft bloss nahe legen bzw. erwarten lassen, reichen für einen ausnahmsweisen Verzicht auf eine Mahnung indes nicht aus. Erforderlich ist vielmehr, wie dargelegt (vgl. E. 5.3 und 11.3.1), dass der Schuldner die Erbringung der Leistung durch entsprechende Erklärung oder konkludentes Verhalten eindeutig endgültig verweigert. Die Beschwerdegegnerin tat dies bis zum Ergehen des erwähnten Entscheids der Vorinstanz bzw. bis zu dessen Kommunikation im Newsletter nicht (vgl. E. 11.3.3). Die Beschwerdeführerinnen hätten sie deshalb mahnen müssen. Dies gilt umso mehr, als nicht feststand, ob sie die Rückerstattung in einer allfälligen Stellungnahme zu diesem Entscheid im Unterschied zu ihren bisherigen Stellungnahmen nunmehr definitiv verweigern werde. Durch die Mahnung wäre für die Beschwerdegegnerin auch klar gewesen, dass sie, wenn sie die Rückerstattung verweigerte, im Falle des Bestehens einer Rückerstattungspflicht allenfalls bereits ab dem Zeitpunkt der Mahnung würde Verzugszinsen entrichten müssen. Es kann demnach auch hier nicht gesagt werden, eine Mahnung habe sich erübrigt bzw. das Erfordernis einer Mahnung sei mit Treu und Glauben nicht vereinbar gewesen.</w:t>
      </w:r>
    </w:p>
    <w:p>
      <w:r>
        <w:rPr>
          <w:b/>
        </w:rPr>
        <w:t>E. 12.3</w:t>
      </w:r>
    </w:p>
    <w:p>
      <w:r>
        <w:t>Damit erweist sich auch dieses Vorbringen der Beschwerdeführerinnen als unzutreffend. Es bleibt somit beim Zeitpunkt, den die Vorinstanz in der angefochtenen Verfügung für den Verzugseintritt als massgeblich erachtete, d.h. beim 10. Februar 2011, ist doch, wie erwähnt (vgl. E. 1.3.2), unbestritten, dass die Beschwerdegegnerin ab diesem Zeitpunkt einen Verzugszins von 5 % zu entrichten hatte. Zu prüfen bleibt, ob die Beschwerdeführerinnen bis zu diesem Zeitpunkt einen Anspruch auf Bereicherungszins haben. Bereicherungszins</w:t>
      </w:r>
    </w:p>
    <w:p>
      <w:r>
        <w:rPr>
          <w:b/>
        </w:rPr>
        <w:t>E. 13.1</w:t>
      </w:r>
    </w:p>
    <w:p>
      <w:r>
        <w:t>Die Beschwerdeführerinnen machen in der Beschwerde geltend, die Bereicherung der Beschwerdegegnerin bestehe im Zins, den sie vom Eingang der SDL-Akontozahlungen bis zum Verzugseintritt erlangt habe. Massgeblich sei dabei die Verzinsung des betriebsnotwendigen Vermögens mit dem durchschnittlichen Kapitalkostensatz (Weighted Average Cost of Capital [WACC]). Dieser habe gemäss den Geschäftsberichten der Beschwerdegegnerin in den Jahren 2009 und 2010 4,55 % betragen. In der Replik führen sie aus, es treffe zu, dass die Beschwerdegegnerin wegen der von ihnen geleisteten SDL-Akontozahlungen keine höheren anrechenbaren Kosten in Gestalt einer höheren Verzinsung des Nettoumlaufvermögens (NUV) habe geltend machen können. Sie hätten denn auch nicht vorgebracht, sie sei über den Mechanismus der NUV-Verzinsung ungerechtfertigt bereichert worden; massgeblich gewesen sei vielmehr der Mechanismus der Verzinsung der Deckungsdifferenzen. Die Beschwerdegegnerin habe von den Akontozahlungen insoweit indirekt profitiert, als sie keine Unterdeckung verzeichnet habe und somit bereichert gewesen sei. Diese Bereicherung müsse sie im Einklang mit der massgeblichen Weisung der Vorinstanz über Deckungsdifferenzen aus den Vorjahren mit einem WACC von 4,55 % verzinsen. In den Schlussbemerkungen machen sie geltend, es stehe heute fest, dass ihre SDL-Akontozahlungen keine Erträge seien, die den SDL-Kosten gegenübergestellt werden können. Die Beschwerdegegnerin könnte die sich dadurch ergebende Unterdeckung daher im Rahmen der Kostendeklaration gegenüber der Vorinstanz nunmehr geltend machen und die Verzinsung mit dem WACC in ihre künftigen Tarife einpreisen. Da wegen der Entrichtung der Akontozahlungen die Unterdeckung in der fraglichen Periode faktisch bei ihnen und nicht bei der Beschwerdegegnerin entstanden sei, hätten sie allerdings einen legitimen Anspruch auf die Verzinsung ihrer Akontozahlungen unabhängig davon, ob die Beschwerdegegnerin die Verzinsung bei der Vorinstanz einfordere.</w:t>
      </w:r>
    </w:p>
    <w:p>
      <w:r>
        <w:rPr>
          <w:b/>
        </w:rPr>
        <w:t>E. 13.2</w:t>
      </w:r>
    </w:p>
    <w:p>
      <w:r>
        <w:t>Die Beschwerdegegnerin bringt vor, die von den Beschwerdeführerinnen geleisteten SDL-Akontozahlungen hätten nicht zu einer Erhöhung ihres betriebsnotwendigen Vermögens geführt. Dessen Verzinsung mit dem WACC begründe daher keinen bereicherungsrechtlichen Anspruch der Beschwerdeführerinnen. Dies gälte hinsichtlich des NUV wegen der von ihr angewandten Methode zu dessen Berechnung selbst dann, wenn die flüssigen Mittel aus den Akontozahlungen nicht umgehend verwendet, sondern auf einem Bankkonto gehalten worden wären. Auch auf den weiteren Bestandteilen des betriebsnotwendigen Vermögens habe sie wegen der Akontozahlungen keine höheren kalkulatorischen Kapitalkosten geltend machen können. Das Anlagevermögen habe sich durch diese Zahlungen nicht verändert; die Deckungsdifferenzen seien ebenfalls nicht betroffen gewesen, da die Tarifeinnahmen zur Deckung der laufenden Kosten benötigt worden seien.</w:t>
      </w:r>
    </w:p>
    <w:p>
      <w:r>
        <w:rPr>
          <w:b/>
        </w:rPr>
        <w:t>E. 13.3</w:t>
      </w:r>
    </w:p>
    <w:p>
      <w:r>
        <w:t>Die Vorinstanz führt in ihrer Vernehmlassung aus, beim Betrag, der sich durch die Verzinsung der für den Betrieb des Übertragungsnetzes notwendigen Vermögenswerte mit dem WACC ergebe, handle es sich nicht um eine ungerechtfertigte Bereicherung, welche die Beschwerdegegnerin den Beschwerdeführerinnen zurückzuerstatten habe, sondern um anrechenbare Kosten im Sinne der Stromversorgungsgesetzgebung. Der gesetzliche Verzinsungsanspruch bestehe weiter unabhängig davon, wer die anrechenbaren Kosten konkret übernehme. Grundlage für die Verzinsung mit dem WACC bilde ausserdem lediglich ein Sechstel der in den Tarifverfügungen der Netzebene 1 anerkannten SDL-Kosten. Die Beschwerdegegnerin hätte im Übrigen selbst dann einen Verzinsungsanspruch gehabt, wenn die Beschwerdeführerinnen keine Akontozahlungen geleistet hätten, da sie berechtigt gewesen wäre, die dadurch entstehende Unterdeckung mit dem WACC zu verzinsen. In der Stellungnahme vom 3. Juni 2014 führt sie aus, die Tatsache, dass die Beschwerdeführerinnen der Beschwerdegegnerin in den Jahren 2009 und 2010 SDL-Akontozahlungen leisteten, habe gerade verhindert, dass dieser eine Unterdeckung entstanden sei, hinsichtlich welcher sie eine Verzinsung mit dem WACC hätte geltend machen können. Insoweit bestehe daher kein ungerechtfertigter Vermögensvorteil der Beschwerdegegnerin.</w:t>
      </w:r>
    </w:p>
    <w:p>
      <w:r>
        <w:rPr>
          <w:b/>
        </w:rPr>
        <w:t>E. 13.4.1</w:t>
      </w:r>
    </w:p>
    <w:p>
      <w:r>
        <w:t>Gemäss einem allgemeinen Rechtsgrundsatz sind Zuwendungen, die aus einem nicht verwirklichten oder nachträglich weggefallenen Grund erfolgten, zurückzuerstatten. Dieser Grundsatz, der für das Privatrecht in Art. 62 Abs. 2 OR festgehalten wird, gilt auch im Verwaltungsrecht, selbst wenn er in der einschlägigen Gesetzgebung nicht ausdrücklich festgelegt ist, und zwar gleichermassen für ungerechtfertigte Leistungen vom Gemeinwesen wie von Privaten (vgl. zum Ganzen BGE 135 II 274 E. 3.1; 124 II 570 E. 4b; 105 Ia 214 E. 5; Urteil des Bundesverwaltungsgerichts A-2483/2013 vom 17. März 2014 E. 2.3.1 f.; Häfelin/Müller/Uhlmann, Allgemeines Verwaltungsrecht, 6. Aufl. 2010, Rz. 187 und 760; Moor/Poltier, Droit administratif, vol. II, 3ème éd., Berne 2011, p. 169).</w:t>
      </w:r>
    </w:p>
    <w:p>
      <w:r>
        <w:rPr>
          <w:b/>
        </w:rPr>
        <w:t>E. 13.4.2</w:t>
      </w:r>
    </w:p>
    <w:p>
      <w:r>
        <w:t>Im Privatrecht sind neben dem - grundlos erworbenen - Kapital grundsätzlich auch die Zinsen, die der Bereicherungsschuldner effektiv darauf gezogen hat, zurückzuerstatten (sog. Bereicherungszins; BGE 130 V 414 E. 5.2; 116 II 689 E. 3.b/bb; Urteil des Bundesverwaltungsgerichts A-2483/2013 vom 17. März 2014 E. 2.3.3 m.w.H.; Gauch/Schluep/ Schmid, Schweizerisches Obligationenrecht, Allgemeiner Teil, Bd. I, 9. Aufl. 2008, Rz. 1525; von Tuhr/Peter, Allgemeiner Teil des schweizerischen Obligationenrechts, Bd. I, 1979, S. 501). Nach Schulin sind zur Bereicherung ausserdem die nach allgemeiner Lebenserfahrung gezogenen Zinsen zu zählen (vgl. Schulin, in: BSK OR I, Art. 64 OR N. 4b mit Hinweisen). Ob auch im Verwaltungsrecht ein Anspruch auf Bereicherungszins besteht oder ungerechtfertigte Zuwendungen vom Gemeinwesen nur zu verzinsen sind, wenn der Leistende einen - grundsätzlich positivrechtlich vorzusehenden - Anspruch auf Vergütungszins hat, der unabhängig davon besteht, ob Zinsen gezogen wurden (vgl. zu den Voraussetzungen für einen solchen Anspruch Urteile des Bundesgerichts 2C_411/2008 vom 28. Oktober 2008 E. 3.2, 2C_410/2008 vom 28. Oktober 2008 E. 3.2 und 2C_191/2007 vom 11. Oktober 2007 E. 3.2; Urteil des Bundesverwaltungsgerichts A-2483/2013 vom 17. März 2014 E. 2.3.5), erscheint offen (vgl. Urteil des Bundesverwaltungsgerichts A-2483/2013 vom 17. März 2014 E. 2.3.4; Imboden/Rhinow, Schweizerische Verwaltungsrechtsprechung, Bd. I, 6. Aufl. 1986, Nr. 32 V S. 192 m.w.H.; Moor/Poltier, op. cit., p. 170). Die Frage braucht vorliegend allerdings nicht geklärt zu werden (vgl. E. 13.5.1).</w:t>
      </w:r>
    </w:p>
    <w:p>
      <w:r>
        <w:rPr>
          <w:b/>
        </w:rPr>
        <w:t>E. 13.4.3</w:t>
      </w:r>
    </w:p>
    <w:p>
      <w:r>
        <w:t>Die Bereicherung im Sinne des Bereicherungsrechts besteht in der Differenz zwischen dem (höheren) jetzigen und dem (tieferen) Vermögensstand, der ohne das bereichernde Ereignis vorläge. Die Vermögensdifferenz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(vgl. BGE 129 III 646 E. 4.2; Schulin, a.a.O., Art. 62 N. 5 ff.). Gemäss der bundesgerichtlichen Rechtsprechung setzt der Bereicherungsanspruch keine unmittelbare Vermögensverschiebung zwischen Bereicherungsgläubiger und -schuldner voraus; auszugleichen ist vielmehr die Bereicherung, die der Bereicherungsschuldner auf Kosten eines anderen erlangt hat (vgl. BGE 129 III 646 E. 4.2; 129 III 422 E. 4; Urteil des Bundesgerichts 4C.338/2006 vom 27. November 2006 E. 3.1; Schulin, a.a.O., Art. 62 N. 8 und 8a).</w:t>
      </w:r>
    </w:p>
    <w:p>
      <w:r>
        <w:rPr>
          <w:b/>
        </w:rPr>
        <w:t>E. 13.5.1</w:t>
      </w:r>
    </w:p>
    <w:p>
      <w:r>
        <w:t>Wie dargelegt (vgl. E. 13.1), bringen die Beschwerdeführerinnen nicht vor, die Beschwerdegegnerin habe auf den SDL-Akontozahlungen einen Zins gezogen. Sie machen also keinen Anspruch auf einen Bereicherungszins im vorstehend dargelegten Sinn (vgl. E. 13.4.2) geltend. Nach der in der Replik vertretenen Auffassung wie auch der in den Schlussbemerkungen geäusserten, davon abweichenden Ansicht soll sich der bereicherungsrechtliche Anspruch auf eine Verzinsung der rechtsgrundlos geleisteten SDL-Akontozahlungen mit dem WACC vielmehr - aus unterschiedlichen Gründen - aus dem Umstand ergeben, dass gemäss dem stromversorgungsrechtlichen Verzinsungsmechanismus neben dem NUV und dem vorliegend nicht massgeblichen Anlagevermögen auch Unterdeckungen der Beschwerdegegnerin zu deren Gunsten mit dem WACC verzinst werden. Was die Beschwerdeführerinnen in diesem Zusammenhang vorbringen, vermag indes nicht zu überzeugen.</w:t>
      </w:r>
    </w:p>
    <w:p>
      <w:r>
        <w:rPr>
          <w:b/>
        </w:rPr>
        <w:t>E. 13.5.2</w:t>
      </w:r>
    </w:p>
    <w:p>
      <w:r>
        <w:t>Dies gilt zunächst für ihr in der Replik angeführtes Argument, die Beschwerdegegnerin sei durch die SDL-Akontozahlungen insoweit indirekt bereichert worden, als sie (ursprünglich) keine Unterdeckung verzeichnet habe, und schulde ihnen auf dieser Bereicherung bzw. dem Betrag der vermiedenen Unterdeckung daher einen Zins in der Höhe des WACC. Damit fordern sie einen Zins, den die Beschwerdegegnerin im Rahmen der ursprünglichen Kostenabrechnung für die Jahre 2009 und 2010 resp. der darauf gestützten ursprünglichen Tariffestsetzung für die nachfolgenden Jahre gerade nicht geltend machen und einpreisen konnte, da sie wegen der SDL-Akontozahlungen keine Unterdeckung verzeichnete, die sie gemäss dem stromversorgungsrechtlichen Verzinsungsmechanismus zu ihren Gunsten mit dem WACC hätte verzinsen können. Sie war insoweit somit von vornherein nicht im vorstehend dargelegten Sinn (vgl. E. 13.4.3) bereichert, weshalb das Vorbringen der Beschwerdeführerinnen ohne weitere Prüfung zurückzuweisen ist.</w:t>
      </w:r>
    </w:p>
    <w:p>
      <w:r>
        <w:rPr>
          <w:b/>
        </w:rPr>
        <w:t>E. 13.5.3</w:t>
      </w:r>
    </w:p>
    <w:p>
      <w:r>
        <w:t>Nicht zu überzeugen vermag sodann deren in den Schlussbemerkungen zugunsten der Zinsforderung vorgebrachtes Argument, die Beschwerdegegnerin könnte nunmehr - nachdem feststehe, dass die SDL-Akontozahlungen keine Erträge seien, die den Kosten der SDL gegenübergestellt werden können - die Unterdeckung im Rahmen der Kostendeklaration gegenüber der Vorinstanz geltend machen und die Verzinsung mit dem WACC in ihre künftigen Tarife einpreisen. Vorliegend ist unbestritten, dass die Beschwerdegegnerin ohne die SDL-Akontozahlungen in den Jahren 2009 und 2010 eine Unterdeckung verzeichnet hätte und sie diese mit dem WACC hätte verzinsen und den berechneten Zins in ihre künftigen Tarife hätte einpreisen können. Ihre (hypothetische) finanzielle Situation ohne diese Zahlungen hätte sich insoweit somit nicht von der von den Beschwerdeführerinnen geltend gemachten (potentiellen) jetzigen Situation unterschieden. Zwischen einer allfälligen Verzinsung und Einpreisung, wie sie die Beschwerdegegnerin nach Ansicht der Beschwerdeführerinnen nunmehr vornehmen könnte, und den SDL-Akontozahlungen bestünde demnach zwar insofern ein Zusammenhang, als diese Verzinsung und Einpreisung wegen des Umstands, dass diese Zahlungen zunächst geleistet wurden, erst jetzt erfolgte, nicht jedoch dergestalt, dass sie wegen dieser Zahlungen überhaupt vorgenommen würde, wäre sie doch, wie erwähnt, auch ohne diese erfolgt, wenn auch in einem früheren Zeitpunkt. Es kann entsprechend nicht gesagt werden, eine derartige Verzinsung und Einpreisung würde wegen dieser Zahlungen und in diesem Sinn auf Kosten der Beschwerdeführerinnen vorgenommen (vgl. E. 13.4.3). Deren Vorbringen erweist sich deshalb ungeachtet der Frage, wie eine solche Verzinsung und Einpreisung bereicherungsrechtlich ansonsten zu qualifizieren wäre, als unzutreffend, weshalb nicht weiter darauf eingegangen zu werden braucht.</w:t>
      </w:r>
    </w:p>
    <w:p>
      <w:r>
        <w:rPr>
          <w:b/>
        </w:rPr>
        <w:t>E. 13.5.4</w:t>
      </w:r>
    </w:p>
    <w:p>
      <w:r>
        <w:t>Soweit die Beschwerdeführerinnen in den Schlussbemerkungen zudem geltend machen, der von ihnen geforderte Zins stehe ihnen ungeachtet der Frage zu, ob die Beschwerdegegnerin gegenüber der Vorinstanz eine Verzinsung der Unterdeckung geltend mache, weil die Unterdeckung faktisch bei ihnen entstanden sei, berufen sie sich nicht auf eine Bereicherung der Beschwerdegegnerin, sondern - offenbar - auf den nicht weiter substantiierten Umstand, dass sie wegen der SDL-Akontozahlungen selber Kapitalkosten hatten. Sie fordern mithin Ersatz für diese Kosten. Inwiefern sich ein derartiger Anspruch aus dem Bereicherungsrecht ergeben soll, erläutern sie allerdings mit guten Gründen nicht, ist solches doch nicht ersichtlich (vgl. E. 13.4.3; Schulin, a.a.O., Art. 62 N. 4).</w:t>
      </w:r>
    </w:p>
    <w:p>
      <w:r>
        <w:rPr>
          <w:b/>
        </w:rPr>
        <w:t>E. 13.5.5</w:t>
      </w:r>
    </w:p>
    <w:p>
      <w:r>
        <w:t>Damit erweist sich auch dieses Vorbringen und entsprechend das Begehren der Beschwerdeführerinnen, ihre Rückerstattungsforderungen für die SDL-Akontozahlungen seien ab deren Entrichtung bis zum Verzugseintritt mit dem WACC zu verzinsen, insgesamt als unbegründet. Ihre Eventualanträge sind daher abzuweisen. Neuverlegung Verfahrenskosten (Antrag 2)</w:t>
      </w:r>
    </w:p>
    <w:p>
      <w:r>
        <w:rPr>
          <w:b/>
        </w:rPr>
        <w:t>E. 14.1</w:t>
      </w:r>
    </w:p>
    <w:p>
      <w:r>
        <w:t>Wie erwähnt (vgl. Bst. I), beantragen die Beschwerdeführerinnen, es seien die Kosten des vorinstanzlichen Verfahrens neu (vollumfänglich) der Beschwerdegegnerin aufzuerlegen (vgl. Antrag 2). Zwar begründen sie diesen Antrag nicht; es ist jedoch davon auszugehen, sie erachteten die Beschwerdegegnerin bei einer Gutheissung von Antrag 1 der Beschwerde als im vorinstanzlichen Verfahren vollumfänglich - statt bloss teilweise - unterliegend.</w:t>
      </w:r>
    </w:p>
    <w:p>
      <w:r>
        <w:rPr>
          <w:b/>
        </w:rPr>
        <w:t>E. 14.2</w:t>
      </w:r>
    </w:p>
    <w:p>
      <w:r>
        <w:t>Wie dargelegt, ist Antrag 1 der Beschwerde abzuweisen. Gleiches gilt für die Eventualanträge. Soweit die Verfügung der Vorinstanz durch diese Anträge angefochten wird, ist sie demnach zu bestätigen. Es besteht entsprechend kein Anlass, die Kosten des vorinstanzlichen Verfahrens im Sinne der Beschwerdeführerinnen neu zu verlegen. Deren Antrag ist daher abzuweisen. Fazit</w:t>
      </w:r>
    </w:p>
    <w:p>
      <w:r>
        <w:rPr>
          <w:b/>
        </w:rPr>
        <w:t>E. 15</w:t>
      </w:r>
    </w:p>
    <w:p>
      <w:r>
        <w:t>Damit erweisen sich sämtliche Anträge und Eventualanträge der Beschwerdeführerinnen als unbegründet. Die Beschwerde ist daher abzuweisen, soweit darauf eingetreten werden kann. Kosten und Entschädigung</w:t>
      </w:r>
    </w:p>
    <w:p>
      <w:r>
        <w:rPr>
          <w:b/>
        </w:rPr>
        <w:t>E. 16.1</w:t>
      </w:r>
    </w:p>
    <w:p>
      <w:r>
        <w:t>Bei diesem Verfahrensausgang gelten die Beschwerdeführerinnen als unterliegend. Sie haben deshalb die auf Fr. 15'000.- festzusetzenden Verfahrenskosten (vgl. Art. 1 ff. des Reglements vom 21. Februar 2008 über die Kosten und Entschädigungen vor dem Bundesverwaltungsgericht [VGKE, SR 173.320.2]) zu gleichen Teilen und unter solidarischer Haftung zu tragen (vgl. Art. 63 Abs. 1 VwVG; Art. 6a VGKE). Der einbezahlte Kostenvorschuss wird zur Bezahlung der Verfahrenskosten verwendet.</w:t>
      </w:r>
    </w:p>
    <w:p>
      <w:r>
        <w:rPr>
          <w:b/>
        </w:rPr>
        <w:t>E. 16.2</w:t>
      </w:r>
    </w:p>
    <w:p>
      <w:r>
        <w:t>Die obsiegende Beschwerdegegnerin hat ihren internen Rechtsdienst mit der Interessenwahrung betraut und ist nicht durch externe Anwälte vertreten, weshalb ihr keine Parteientschädigung zusteht (Art. 8 ff. VGKE, insb. Art. 9 Abs. 2 VGKE). Die Vorinstanz hat als Bundesbehörde ebenfalls keinen Anspruch auf eine Parteientschädigung (vgl. Art. 7 Abs. 3 VGKE). Gleiches gilt für die unterliegenden Beschwerdeführerinnen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