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A-2073/2022 vom 28. März 2025</w:t>
      </w:r>
    </w:p>
    <w:p>
      <w:r>
        <w:t>Bundesverwaltungsgericht, 2025-03-28, IT</w:t>
      </w:r>
    </w:p>
    <w:p>
      <w:r>
        <w:rPr>
          <w:b/>
        </w:rPr>
        <w:t xml:space="preserve">Quelle: </w:t>
      </w:r>
      <w:r>
        <w:t>https://mcp.opencaselaw.ch/entscheid/bvger_A-2073_2022</w:t>
      </w:r>
    </w:p>
    <w:p>
      <w:r>
        <w:t>FR: TAF A-2073/2022 du 28 mars 2025</w:t>
      </w:r>
    </w:p>
    <w:p>
      <w:r>
        <w:t>IT: TAF A-2073/2022 del 28 marzo 2025</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della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D.a e D.b).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6 aprile 2022 dell'autorità inferiore, con cui quest'ultima ha accolto la domanda raggruppata italiana di assistenza amministrativa del 23 novembre 2018, per quanto concerne la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D)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dalla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della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4.2.4</w:t>
      </w:r>
    </w:p>
    <w:p>
      <w:r>
        <w:t>Ora, nel suo gravame la ricorrente censura innanzitutto la violazione del divieto di « fishing expedition » (cfr. ricorso del 4 maggio 2022, punto n. 3). A suo dire, la motivazione fornita dall'autorità estera non permetterebbe infatti di identificare un modello di comportamento che accomuni più soggetti, così come nemmeno permetterebbe di identificare tali soggetti. A ciò si aggiungerebbe il fatto che la « presa in considerazione di elementi successivi incerti, quali la circostanza, per un contribuente, di essere stato destinatario di una lettera di un istituto finanziario, o di averla ricevuta, pone un criterio incerto per la delimitazione di un gruppo omogeneo secondo un medesimo modello comportamentale ». Il contenuto della lettera 20 febbraio 2015 non rispecchierebbe poi quello della lettera tipo richiesta dall'Accordo interpretativo, in base al quale, uno dei criteri di inclusione dei soggetti interessati nella domanda raggruppata, sarebbe quello di aver ricevuto una lettera dalla banca con la chiara richiesta di comprovare la conformità fiscale degli averi ivi depositati, pena la chiusura forzata della relazione. Vi sarebbe infatti una differenza sostanziale tra lo scritto del 20 febbraio 2015 e quello previsto dall'Accordo, limitandosi il primo a elencare alcune modalità di accesso agli averi depositati in conto e operando una distinzione tra clientela che aveva già fornito la prova della conformità fiscale e quella che non l'aveva ancora fatto, senza tuttavia pretendere la prova della regolarizzazione fiscale. Lo scritto 20 febbraio 2015 non adempierebbe dunque le condizioni necessarie per una domanda raggruppata di assistenza amministrativa. Infine, nemmeno sarebbe dimostrato il fatto che la ricorrente abbia ricevuto tale scritto, così come la mancata reazione a tale scritto non sarebbe un elemento idoneo a definire le persone interessata dalla richiesta di assistenza, non corrispondendo « a tale inerzia una violazione della normativa fiscale della vicina penisola ». La domanda italiana di rogatoria andrebbe quindi respinta.</w:t>
      </w:r>
    </w:p>
    <w:p>
      <w:r>
        <w:rPr>
          <w:b/>
        </w:rPr>
        <w:t>E. 4.2.5</w:t>
      </w:r>
    </w:p>
    <w:p>
      <w:r>
        <w:t>Sennonché tali censure non possono che essere qui respinte. Gli argomenti sollevati dalla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la ricorrente allorquando questa ritiene - contrariamente a quanto stabilito dal Tribunale federale - che la domanda non sia conforme al diritto e più precisamente alla CDI CH-IT.</w:t>
      </w:r>
    </w:p>
    <w:p>
      <w:r>
        <w:rPr>
          <w:b/>
        </w:rPr>
        <w:t>E. 5.1</w:t>
      </w:r>
    </w:p>
    <w:p>
      <w:r>
        <w:t>Constatata l'ammissibilità della domanda raggruppata italiana di assistenza amministrativa del 23 novembre 2018, occorre ancora stabilire se la ricorrente rientri o meno nel modello di comportamento (lecitamente) ivi descritto dall'autorità richiedente italiana. Ora, la ricorrente contesta il suo statuto quale contribuente fiscale recalcitrante (cfr. ricorso del 4 maggio 2022, punti n. 4-5). La sua inclusione nel gruppo di comportamento sarebbe infatti rimasta indimostrata da parte dell'autorità italiana. Più precisamente, essa sostiene non aver mai ricevuto la lettera 3 febbraio 2014 - che a suo dire nemmeno esisterebbe - così come quella del 20 febbraio 2015. Agli atti non vi sarebbero prove e/o indizi circa l'esplicita comunicazione della banca nei riguardi della qui ricorrente in merito alle disposizioni per la clientela con residenza fiscale in Italia. L'elemento della notifica della lettera 20 febbraio 2015 sarebbe determinante in quanto rappresenterebbe - per l'autorità estera - una condizione essenziale al fine di determinare la cerchia delle persone interessate dalla domanda di assistenza amministrativa. A ciò si aggiungerebbe il fatto che, la ricorrente, avrebbe dato ordine alla banca di trattenere la corrispondenza e che dalla documentazione trasmessa dall'istituto bancario non emergerebbe il fatto che la stessa abbia mai preso conoscenza della lettera 20 febbraio 2015: non vi sarebbe infatti copia dello scritto firmato dal titolare dell'intestazione a valere quale conferma di presa di visione del documento, così come non si potrebbe « supplire al mancato accertamento della notifica la ricerca informatica condotta da B._______, che ha estrapolato, per il conto intestato alla signora A._______, alcuni brevi rapporti di visita asseritamente stesi da un ignoto RM ». Nemmeno nelle note dell'RM (i.e. relationship manager) si farebbe poi riferimento alla notifica e/o consegna brevi manu della lettera 20 febbraio 2015 alla ricorrente, così come nemmeno vi sarebbe modo di comprovare che ella abbia preso conoscenza di detto scritto. A dire dell'insorgente « Il RM ha unicamente indicato di avere mostrato al procuratore ed alla titolare del conto i &lt;pgl&gt; ma non la lettera 20.02.2020, precisando di avere comunicato alla titolare del conto la politica della Banca in relazione alla VD e che la titolare ha deciso di chiudere il conto. Non vi è per altro alcuna indicazione che permetta di escludere che la signora abbia deciso di accedere alla VD appoggiandosi ad altri professionisti e/o ad altro istituto bancario ». In tal senso, mancando dunque la prova del fatto che la ricorrente abbia preso conoscenza dello scritto 20 febbraio 2015 - aspetto che l'insorgente contesta recisamente - ella non rientrerebbe nella cerchia delle persone interessate dalla domanda di assistenza amministrativa. La richiesta di assistenza andrebbe quindi respinta.</w:t>
      </w:r>
    </w:p>
    <w:p>
      <w:r>
        <w:rPr>
          <w:b/>
        </w:rPr>
        <w:t>E. 5.2</w:t>
      </w:r>
    </w:p>
    <w:p>
      <w:r>
        <w:t>A tal proposito, lo scrivente Tribunale rileva come da un esame degli atti dell'incarto - e meglio dalla documentazione fornita dalla banca B._______/C._______ (cfr. atto n. 18.2 dell'incarto prodotto dall'autorità inferiore su chiave USB [di seguito: inc. AFC]) - risulti chiaramente che durante il periodo interessato dalla predetta domanda raggruppata, la ricorrente era titolare di un conto bancario presso la banca B._______/C._______. È poi incontestato ch'essa abbia preso conoscenza della lettera 20 febbraio 2015 della predetta banca. Dalla documentazione bancaria si evince infatti chiaramente come, sebbene la ricorrente abbia dato ordine alla banca di trattenere la corrispondenza, in data 25 febbraio 2015 - ovvero 5 giorni dopo l'emissione della lettera del 20 febbraio 2015 - il procuratore si sia recato in banca. Durante tale visita, a quest'ultimo sono state comunicate le nuove direttive in merito ai prelevamenti, così come la tematica V.D. e la politica della banca atta ad aderire alla stessa sono state oggetto di discussione. A tale momento, si è poi susseguita un'ulteriore visita in data 14 aprile 2015, un pagamento a favore di un'altra relazione bancaria intestata alla ricorrente presso un altro istituto e infine - in data 4 maggio 2015 - l'estinzione della relazione bancaria da parte della ricorrente. Dal Doc. 18.2 emerge chiaramente come durante la visita del 4 maggio 2015 l'RM abbia ribadito alla ricorrente la politica della banca atta ad aderire alla V.D., così come « la pericolosità di trovare alternative », ma che ella abbia deciso - ciononostante - di estinguere il conto. Da quanto finora esposto, emerge dunque in maniera sufficientemente chiara come - in più occasioni - l'aspetto fiscale del paese richiedente sia stato oggetto di discussione durante le diverse visite in banca. Mal si comprende altrimenti per quale motivo il consulente avrebbe dovuto rendere attenti sulla « pericolosità di trovare alternative ». Come poi indicato al consid. 4.2.1.2 del presente giudizio, nel caso di un « fermo banca » (ossia la trattenuta della corrispondenza presso la banca a disposizione del cliente), si può partire dal presupposto che un cliente della banca consulti regolarmente la propria corrispondenza bancaria, in ogni caso nel termine di un anno. In tali circostanze, vi è dunque motivo di presumere che l'insorgente abbia avuto conoscenza di detto scritto e abbia tuttavia scelto di non reagire a detta lettera comprovando la sua conformità fiscale, sicché la stessa rientra nel modello di comportamento descritto nella domanda raggruppata. Si deve dunque concludere che la ricorrente rientra nel modello di comportamento in oggetto e che la trasmissione delle informazioni sia ammissibile.</w:t>
      </w:r>
    </w:p>
    <w:p>
      <w:r>
        <w:rPr>
          <w:b/>
        </w:rPr>
        <w:t>E. 6.1</w:t>
      </w:r>
    </w:p>
    <w:p>
      <w:r>
        <w:t>Infine, la ricorrente censura la violazione del suo diritto di essere sentito (art. 29 cpv. 2 della Costituzione federale della Confederazione Svizzera del 18 aprile 1999 [RS 101; di seguito: Cost.]). A suo dire, l'autorità inferiore non avrebbe preso posizione in merito a quanto da ella esposto al punto 2 delle osservazioni del 30 marzo 2020. Più precisamente, l'insorgente sarebbe stata privata del proprio diritto di essere sentito laddove i dati contenuti nella scheda « Easy-SEI » non sarebbero verificabili e rappresenterebbero una semplice dichiarazione unilaterale, oltretutto non sottoscritta per conferma, del detentore delle informazioni. Non potendo questa esprimersi sulla correttezza di tali dati, il suo diritto di essere sentito sarebbe stato dunque violato (cfr. ricorso del 4 maggio 2022, punto n. 2). In merito a tale censura, lo scrivente Tribunale dirà quanto segue.</w:t>
      </w:r>
    </w:p>
    <w:p>
      <w:r>
        <w:rPr>
          <w:b/>
        </w:rPr>
        <w:t>E. 6.2</w:t>
      </w:r>
    </w:p>
    <w:p>
      <w:r>
        <w:t>Circa la censura della violazione del diritto di essere sentito in rapporto alla motivazione generica/standardizzata delle decisioni finali dell'autorità inferiore nell'ambito dell'assistenza amministrativa in materia fiscale, il Tribunale rileva che lo stesso ha già avuto modo di pronunciarsi al riguardo in correlazione con una domanda collettiva di assistenza amministrativa francese nell'ambito della sentenza di principio A-5662/2020 del 10 maggio 2021 (consid. 1.5.4), giungendo alla conclusione che la stessa è conforme alle esigenze di motivazione poste dal diritto di essere sentito e appare giustificata nel contesto di un'amministrazione che emana decisioni di massa, come nel caso delle procedure di assistenza amministrativa (cfr. anche sentenza del TAF A-3611/2020 del 20 ottobre 2022 consid. 6) . Nella misura in cui detta sentenza è cresciuta in giudicato - il Tribunale federale non essendo entrato nel merito al riguardo (cfr. sentenza del TF 2C_435/2021 del 2 giugno 2021) - il Tribunale non ha qui motivo di discostarsene, sicché va applicata anche ai presenti casi concernenti la domanda collettiva di assistenza amministrativa italiana. Per quanto qui necessario, il Tribunale osserva - analogamente a quanto ritenuto nell'ambito della causa A-5662/2020 - che se è vero che nella decisione impugnata l'autorità inferiore espone in maniera standardizzata, senza riferimento esplicito alla presa di posizione della ricorrente, i motivi per i quali essa ritiene che le informazioni vadano trasmesse all'autorità richiedente italiana, rispettivamente i motivi per cui la domanda di assistenza amministrativa italiana vada accolta, vero è anche che tale motivazione standardizzata non pregiudica tuttavia il suo diritto di essere sentita. Nonostante l'uso di paragrafi standardizzati - il cui uso appare giustificato nel contesto di un'amministrazione che emana decisioni di massa - gli argomenti giuridici esposti dall'autorità inferiore nella decisione impugnata risultano chiari e permettono di comprendere le ragioni per cui le censure sollevate dalla ricorrente con scritto 30 marzo 2020 non sono state da lei considerare come decisive. Nella fattispecie, tale è segnatamente il caso per gli argomenti che rispondono p. es. alla censura della ricorrente circa la violazione del divieto della « fishing expedition » (cfr. decisione impugnata, considd. 5-7). In altri termini, da un esame della decisione impugnata, risulta che la stessa è sufficientemente motivata affinché la ricorrente possa comprenderne la portata e contestarla con cognizione di causa, così come richiesto dal diritto di essere sentito, ciò che peraltro ella ha fatto. Con ricorso 4 maggio 2022, la ricorrente ha potuto infatti contestare pienamente in questa sede detta decisione, indicando i motivi per cui ritiene la domanda di assistenza amministrativa italiana come inammissibile, rispettivamente perché i suoi dati non dovrebbero essere trasmessi all'autorità richiedente italiana.</w:t>
      </w:r>
    </w:p>
    <w:p>
      <w:r>
        <w:rPr>
          <w:b/>
        </w:rPr>
        <w:t>E. 6.3</w:t>
      </w:r>
    </w:p>
    <w:p>
      <w:r>
        <w:t>Con riferimento specifico alla censura della ricorrente circa il fatto che i dati contenuti nella scheda « Easy-SEI » non sarebbero verificabili, si rileva come tale censura appaia - alla luce degli elementi agli atti - del tutto infondata. Come rettamente indicato dall'autorità inferiore in sede di risposta (cfr. risposta del 1° luglio 2022, punti n. 3-5), i tali dati contenuti in tale scheda si riferiscono al conto a ella intestato. In tal senso, non si comprende come l'insorgente non abbia - o non abbia avuto - la possibilità di verificarne la correttezza: sarebbe infatti stato sufficiente domandare l'estratto conto all'istituto bancario, documento che le avrebbe permesso di verificare chiaramente il ben fondato dei dati oggetto dell'odierna contestazione. Il fatto che la ricorrente sollevi tale censura in questa sede - per di più in forma generica, senza riferimento alcuno al motivo per il quale, nel concreto, tali dati sarebbero errati, allora che agli atti non vi è alcun motivo di dubitare di tale aspetto - è una condotta che non merita tutela.</w:t>
      </w:r>
    </w:p>
    <w:p>
      <w:r>
        <w:rPr>
          <w:b/>
        </w:rPr>
        <w:t>E. 6.4</w:t>
      </w:r>
    </w:p>
    <w:p>
      <w:r>
        <w:t>Anche ad avere ancora dubbi al riguardo, ogni eventuale violazione del suo diritto di essere sentito - ciò che, come visto, non è tuttavia qui il caso - va comunque considerata come sanata in questa sede, dal momento che la ricorrente ha potuto esporre nuovamente le proprie censure e che il Tribunale è entrato nel loro merito, per quanto necessario, nel contesto del presente giudizio (cfr. sentenza del TAF A-1732/2021 del 23 marzo 2022 consid. 3.1.4). Visto quanto precede, detta censura va pertanto respinta.</w:t>
      </w:r>
    </w:p>
    <w:p>
      <w:r>
        <w:rPr>
          <w:b/>
        </w:rPr>
        <w:t>E. 7.1</w:t>
      </w:r>
    </w:p>
    <w:p>
      <w:r>
        <w:t>In conclusione, lo scrivente Tribunale deve constatare che la domanda raggruppata italiana di assistenza amministrativa del 23 novembre 2018 adempie tutti i requisiti formali e materiali alla base della sua ammissibilità. Nella misura in cui la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dalla ricorrente nel suo gravame.</w:t>
      </w:r>
    </w:p>
    <w:p>
      <w:r>
        <w:rPr>
          <w:b/>
        </w:rPr>
        <w:t>E. 7.2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Fino a poco tempo fa (vedasi il comunicato stampa congiunto della Segreteria di Stato per le questioni finanziarie internazionali [SFI] e dell'AFC del 22 marzo 2024, pubblicato su: &lt; https://www.sif.admin.ch/it/commento-articolo-26-scambio-informazioni-modello-convenzione-fiscale , consultato il 17.03.2025), vi erano differenti concezioni in merito alla portata del principio di specialità, sia sul piano nazionale che internazionale, in particolare per quanto concerne la sua componente personale. Per tale ragione, veniva dunque considerato opportuno che l'autorità inferiore informasse, caso per caso, espressamente l'autorità richiedente italiana in merito alle restrizioni relative all'uso delle informazioni a essa trasmesse (cfr. consid. 3.5 del presente giudizio; parimenti sentenza del TAF A-5309/2019 del 3 dicembre 2020 consid. 5.6). Nel caso in esame, poiché la decisione finale è stata emessa prima dell'annunciato cambiamento di prassi, è dunque opportuno - per motivi di uguaglianza di trattamento - che l'autorità inferiore precisi e riferisca all'autorità richiedente italiana quanto sancito al punto n. 2 del dispositivo del presente giudizio (cfr. [tra le tante] sentenza del TAF A-3202/2022 del 13 maggio 2024 consid. 6.2).</w:t>
      </w:r>
    </w:p>
    <w:p>
      <w:r>
        <w:rPr>
          <w:b/>
        </w:rPr>
        <w:t>E. 7.3</w:t>
      </w:r>
    </w:p>
    <w:p>
      <w:r>
        <w:t>In definitiva, la decisione impugnata va dunque confermata e il ricorso della ricorrente integralmente respinto, con le precisazioni all'attenzione dell'autorità inferiore di cui al consid. 7.2 circa il principio di specialità.</w:t>
      </w:r>
    </w:p>
    <w:p>
      <w:r>
        <w:rPr>
          <w:b/>
        </w:rPr>
        <w:t>E. 8</w:t>
      </w:r>
    </w:p>
    <w:p>
      <w:r>
        <w:t>In considerazione dell'esito della lite, giusta l'art. 63 cpv. 1 PA, le spese di procedura sono poste a carico della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essa versati a suo tempo. Non vi sono poi i presupposti per l'assegnazione alla ricorrente di indennità a titolo di spese ripetibili (cfr. 64 cpv. 1 PA a contrario, rispettivamente art. 7 cpv. 1 TS-TAF a contrario).</w:t>
      </w:r>
    </w:p>
    <w:p>
      <w:r>
        <w:rPr>
          <w:b/>
        </w:rPr>
        <w:t>E. 9</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