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A-2064/2013 vom 9. Dezember 2013</w:t>
      </w:r>
    </w:p>
    <w:p>
      <w:r>
        <w:t>Bundesverwaltungsgericht, 2013-12-09, DE</w:t>
      </w:r>
    </w:p>
    <w:p>
      <w:r>
        <w:rPr>
          <w:b/>
        </w:rPr>
        <w:t xml:space="preserve">Quelle: </w:t>
      </w:r>
      <w:r>
        <w:t>https://mcp.opencaselaw.ch/entscheid/bvger_A-2064_2013</w:t>
      </w:r>
    </w:p>
    <w:p>
      <w:r>
        <w:t>FR: TAF A-2064/2013 du 9 décembre 2013</w:t>
      </w:r>
    </w:p>
    <w:p>
      <w:r>
        <w:t>IT: TAF A-2064/2013 del 9 dicembre 2013</w:t>
      </w:r>
    </w:p>
    <w:p>
      <w:pPr>
        <w:pStyle w:val="Heading2"/>
      </w:pPr>
      <w:r>
        <w:t>Regeste</w:t>
      </w:r>
    </w:p>
    <w:p>
      <w:r>
        <w:t>Öffentlichkeitsprinzip</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Da keine Ausnahme nach Art. 32 VGG vorliegt und das SECO eine Vorinstanz nach Art. 33 Bst. d VGG ist, ist das Bundesverwaltungsgericht zur Beurteilung der vorliegenden Beschwerde zuständig (vgl. auch Art. 16 Abs. 1 BGÖ). Das Verfahren vor dem Bundesverwaltungsgericht richtet sich nach dem VwVG, soweit das VGG nichts anderes bestimmt (Art. 37 VGG).</w:t>
      </w:r>
    </w:p>
    <w:p>
      <w:r>
        <w:rPr>
          <w:b/>
        </w:rPr>
        <w:t>E. 1.2</w:t>
      </w:r>
    </w:p>
    <w:p>
      <w:r>
        <w:t>Im Beschwerdeverfahren vor Bundesverwaltungsgericht ist die Beschwerdeführerin unter dem Namen "Zentrale Paritätische Kontrollstelle ZPK" aufgetreten, als Adressatin der Verfügung vom 15. März 2013 ist jedoch die "Zentrale Paritätischen Kommission für Branchen des Ausbaugewerbes in den Kantonen BL/BS/SO" aufgeführt. Es ist daher vorab zu klären, wie die korrekte Parteibezeichnung der Beschwerdeführerin lautet. Gemäss Art. 7 Bst. r des GAV für Branchen des Ausbaugewerbes in den Kantonen BL/BS/SO, der mit Bundesratsbeschluss vom 22. September 2010 für allgemeinverbindlich erklärt wurde (BBl 2010 6011), ist die Beschwerdeführerin zuständig für die Verwaltung sowie die Verwendung der Vollzugskostenbeiträge und untersteht der Aufsicht durch die Vorinstanz (Art. 5 Abs. 2 i.V.m. Art. 20 Abs. 2 AVEG). Sie ist folglich die vom Zugangsgesuch der Beschwerdegegnerin betroffene Partei und hätte richtigerweise im vorinstanzlichen Verfahren als Verfügungsadressatin bezeichnet werden müssen. Eine bloss fehlerhafte Parteibezeichnung kann indes im Beschwerdeverfahren berichtigt werden. Dies ist dann statthaft, wenn die Identität der Partei von Anfang an eindeutig feststand und bloss deren Benennung formell falsch war (vgl. BGE 131 I 57 E. 2.2, BGE 129 V 300 E. 3.2, BGE 116 V 335 E. 4; Urteile des Bundesverwaltungsgerichts A 4584/2011 vom 20. November 2012 E. 1.2.1, A 6610/2009 vom 21. April 2010 E. 2.4 ff. und A-1513/2006 vom 24. April 2009 E. 5.2; Vera Marantelli-Sonanini/Said Huber, in: Praxiskommentar VwVG [nachfolgend: Praxiskommentar], Waldmann/Weissenberger [Hrsg.], Zürich 2009, Art. 6 N 48, Felix Uhlmann/Alexandra Schwank, Praxiskommentar, Art. 38 N 13; je mit Hinweisen). Die genannten Voraussetzungen sind vorliegend erfüllt. Da der rein formelle Mangel der fehlerhaften Parteibezeichnung im vorliegenden Beschwerdeverfahren geheilt werden kann, rechtfertigt er für sich allein noch nicht die Aufhebung der Verfügung.</w:t>
      </w:r>
    </w:p>
    <w:p>
      <w:r>
        <w:rPr>
          <w:b/>
        </w:rPr>
        <w:t>E. 1.3.1</w:t>
      </w:r>
    </w:p>
    <w:p>
      <w:r>
        <w:t>Gemäss Art. 48 VwVG ist zur Beschwerde legitimiert, wer am vor-instanzlichen Verfahren teilgenommen hat oder keine Möglichkeit zur Teilnahme hatte (Art. 48 Abs. 1 Bst. a VwVG), durch die angefochtene Verfügung besonders berührt ist (Art. 48 Abs. 1 Bst. b VwVG) und zudem ein schutzwürdiges - also rechtliches oder tatsächliches - Interesse an der Aufhebung oder Änderung der Verfügung hat (Art. 48 Abs. 1 Bst. c VwVG). Die Beschwerdeführerin ist als Verein im Sinne von Art. 60 des Schweizerischen Zivilgesetzbuchs vom 10. Dezember 1907 (ZGB, SR 210) konstituiert und als juristische Person rechtsfähig. Sie hat am vorinstanzlichen Verfahren teilgenommen, teilweise handelnd durch die Zentrale Paritätische Kommission. Sie ist durch die angefochtene Verfügung, in der sie als Adressatin eigentlich hätte bezeichnet werden müssen, besonders berührt (vgl. vorstehend E. 1.2). Ob der Beschwerdeführerin indes auch ein schutzwürdiges Beschwerdeinteresse im Sinne von Art. 48 Abs. 1 Bst. c VwVG zukommt, ist im Rahmen des Schriftenwechsels strittig geblieben.</w:t>
      </w:r>
    </w:p>
    <w:p>
      <w:r>
        <w:rPr>
          <w:b/>
        </w:rPr>
        <w:t>E. 1.3.2</w:t>
      </w:r>
    </w:p>
    <w:p>
      <w:r>
        <w:t>Zum schutzwürdigen Beschwerdeinteresse hat sich die Vorinstanz in der Vernehmlassung dahingehend geäussert, die Beschwerdeführerin sei für das Jahr 2010 noch nicht verpflichtet gewesen, ihre Abrechnungen einzureichen. Entsprechend der Empfehlung des EDÖB sei kein Zugang für diese Abrechnungen gewährt worden, weshalb die Beschwerdeführerin durch die angefochtene Verfügung nicht beschwert sei. Demgegenüber stellt sich die Beschwerdeführerin auf den Standpunkt, das Dispositiv der angefochtenen Verfügung stehe im klarem Widerspruch zu den Erwägungen des EDÖB. So oder anders komme ihr aber ein schutzwürdiges Beschwerdeinteresse zu, da sich die Frage, ob Dritten Zugang zu den privaten Abrechnungen der paritätischen Kommissionen gestützt auf das BGÖ zu gewähren sei, jederzeit wieder stellen könne.</w:t>
      </w:r>
    </w:p>
    <w:p>
      <w:r>
        <w:rPr>
          <w:b/>
        </w:rPr>
        <w:t>E. 1.3.3</w:t>
      </w:r>
    </w:p>
    <w:p>
      <w:r>
        <w:t>Anfechtungsobjekt in einem Verfahren vor dem Bundesverwaltungsgericht bildet der angefochtene vorinstanzliche Entscheid. Das zentrale Element einer Verfügung ist das Dispositiv, d.h. die Verfügungsformel mit dem genauen Inhalt der für das betreffende Rechtsverhältnis angeordneten Rechte und Pflichten. Wesentlich ist, dass das relevante Ergebnis korrekt und vollständig im Dispositiv abgebildet wird, da grundsätzlich nur dieses in Rechtskraft erwächst und damit rechtsverbindlich ist und gegebenenfalls den Umfang des Streitgegenstandes begrenzt. Dementsprechend ist grundsätzlich nur das Dispositiv eines Entscheids, nicht aber dessen Begründung anfechtbar (BGE 113 V 159 E. 1c). Bei einem Widerspruch zwischen Dispositiv und Erwägungen oder bei Unklarheit des Dispositivs ist der Entscheid nach seinem tatsächlichen Bedeutungsgehalt zu verstehen. Die Auslegung hat nach den Regeln von Treu und Glauben zu erfolgen (vgl. Urteil des Bundesverwaltungsgerichts B 7972/2008 vom 4. März 2010 E. 4.3.1; Philippe Weissenberger, Praxiskommentar, Art. 61 Rz. 44).</w:t>
      </w:r>
    </w:p>
    <w:p>
      <w:r>
        <w:rPr>
          <w:b/>
        </w:rPr>
        <w:t>E. 1.3.4</w:t>
      </w:r>
    </w:p>
    <w:p>
      <w:r>
        <w:t>In Dispositiv-Ziff. 1 der Verfügung vom 15. März 2013 wird der Beschwerdegegnerin entsprechend der Empfehlung des EDÖB Zugang zu den Abrechnungen der Beschwerdeführerin aus dem Jahr 2010 gewährt. Der reine Wortlaut des Dispositivs legt somit nahe, dass die Beschwerdeführerin den Zugang zu dulden hat. Erst unter Beizug des Verweises auf die Empfehlung des EDÖB wird deutlich, dass die Beschwerdeführerin für das fragliche Jahr 2010 gar keine Abrechnungen der Vorinstanz eingereicht hat. Das Dispositiv selbst erweist sich somit im Ergebnis als mehrdeutig und bei objektiver Betrachtung als in sich widersprüchlich. Der zu verzeichnende Widerspruch bleibt auch unter Einbezug der Erwägungen bestehen, da sich die Vorinstanz an keiner Stelle mit dem Umstand auseinandersetzt, dass diese Abrechnungen ihr gar nicht eingereicht wurden. Diesbezüglich fehlt eine auf den Einzelfall bezogene rechtsgenügende Begründung. Bei dieser unklaren Ausgangslage ist nicht auszuschliessen, dass die Beschwerdeführerin durch die angefochtene Verfügung materiell beschwert ist. Ihr kommt daher - entgegen der Ansicht der Vorinstanz - ein schützenswertes Beschwerdeinteresse zu.</w:t>
      </w:r>
    </w:p>
    <w:p>
      <w:r>
        <w:rPr>
          <w:b/>
        </w:rPr>
        <w:t>E. 1.4</w:t>
      </w:r>
    </w:p>
    <w:p>
      <w:r>
        <w:t>Auf die im Übrigen frist- und formgerecht eingereichte Beschwerde (Art. 50 Abs. 1 und 52 Abs. 1 VwVG) ist somit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(Art. 49 VwVG).</w:t>
      </w:r>
    </w:p>
    <w:p>
      <w:r>
        <w:rPr>
          <w:b/>
        </w:rPr>
        <w:t>E. 3</w:t>
      </w:r>
    </w:p>
    <w:p>
      <w:r>
        <w:t>Das BGÖ ist am 1. Juli 2006 in Kraft getreten. Durch die Schaffung eines Rechtsanspruchs auf Zugang zu amtlichen Dokumenten, welcher unabhängig vom Nachweis besonderer Interessen besteht, wurde hinsichtlich der Verwaltungstätigkeit ein Paradigmenwechsel vom Geheimhaltungsprinzip mit Öffentlichkeitsvorbehalt hin zum Öffentlichkeitsprinzip mit Geheimhaltungsvorbehalt vollzogen (Art. 6 Abs. 1 BGÖ; vgl. dazu BGE 133 II 209 E. 2.1; Pascal Mahon/Olivier Gonin, in: Stephan C. Brunner/Luzius Mader [Hrsg.], Öffentlichkeitsgesetz, Handkommentar [nachfolgend: Kommentar Öffentlichkeitsgesetz], Bern 2008, Art. 6 Rz. 1 ff.). Das Prinzip soll Transparenz schaffen, damit Bürgerinnen und Bürger politische Abläufe erkennen und beurteilen können. Nebst Vertrauen soll dadurch das Verständnis für die Verwaltung und ihr Funktionieren gefördert sowie die Akzeptanz staatlichen Handelns erhöht werden (BGE 133 II 209 E. 2.3.1; BVGE 2011/52 E. 3; Urteil des Bundesverwaltungsgerichts A 5489/2012 vom 8. Oktober 2013 E. 4.1).</w:t>
      </w:r>
    </w:p>
    <w:p>
      <w:r>
        <w:rPr>
          <w:b/>
        </w:rPr>
        <w:t>E. 4</w:t>
      </w:r>
    </w:p>
    <w:p>
      <w:r>
        <w:t>Die Beschwerdegegnerin reichte ihr Gesuch um Zugang zu den Abrechnungen der paritätischen Kommissionen beim SECO ein. Als Verwaltungseinheit des Eidgenössischen Departements für Wirtschaft, Bildung und Forschung (WBF) gehört das SECO zur Bundesverwaltung und untersteht damit vorbehaltlich spezialgesetzlicher Bestimmungen dem BGÖ (Art. 2 Abs. 1 Bst. a BGÖ i.V.m. Anhang 1 der Regierungs- und Verwaltungsorganisationsverordnung vom 25. November 1998 [RVOV, SR 172.010.1]). Eine Ausnahme, was den sachlichen Geltungsbereich gemäss Art. 3 BGÖ betrifft, liegt nicht vor. Ebenso wenig greift vorliegend der Vorbehalt spezialgesetzlicher Regelung gemäss Art. 4 BGÖ.</w:t>
      </w:r>
    </w:p>
    <w:p>
      <w:r>
        <w:rPr>
          <w:b/>
        </w:rPr>
        <w:t>E. 5.1</w:t>
      </w:r>
    </w:p>
    <w:p>
      <w:r>
        <w:t>Der Begriff des amtlichen Dokuments wird sodann in Art. 5 BGÖ definiert. Dieser Bestimmung zufolge handelt es sich hierbei um jede Information, die auf einem beliebigen Informationsträger aufgezeichnet ist, sich im Besitze einer Behörde befindet, von der sie stammt oder der sie mitgeteilt worden ist, und welche die Erfüllung einer öffentlichen Aufgabe betrifft (Art. 5 Abs. 1 BGÖ). Gemäss dieser Bestimmung muss das gewünschte Dokument, in welchem die Information enthalten ist, sich tatsächlich im Besitz der angefragten Behörde befinden. Das bedeutet, dass die Behörde selber Zugang zur Information haben muss, damit sie auch der Öffentlichkeit Zugang gewähren kann. Wenn sie das Dokument nicht tatsächlich besitzt, obwohl sie dessen Erstellerin oder Hauptadressatin war, muss sie alle Massnahmen ergreifen, die zur Beschaffung des Dokuments erforderlich sind. Ist das fragliche Dokument bereits archiviert, so hat sie über den Zugang in Zusammenarbeit mit dem Bundesarchiv zu entscheiden (Botschaft des Bundesrates zum Bundesgesetz über die Öffentlichkeit der Verwaltung vom 12. Februar 2003, BBl 2003 1993; Kurt Nuspliger, Kommentar Öffentlichkeitsgesetz, Art. 5 Rz. 18).</w:t>
      </w:r>
    </w:p>
    <w:p>
      <w:r>
        <w:rPr>
          <w:b/>
        </w:rPr>
        <w:t>E. 5.2</w:t>
      </w:r>
    </w:p>
    <w:p>
      <w:r>
        <w:t>Im vorliegenden Fall ist die Allgemeinverbindlicherklärung des GAV für Branchen des Ausbaugewerbes in den Kantonen BL/BS/SO erst auf den 1. Oktober 2010 in Kraft getreten (BBl 2010 6013). Folglich war die Beschwerdeführerin für das vom Zugangsgesuch der Beschwerdegegnerin betroffene Jahr 2010 noch nicht verpflichtet, der Vorinstanz ihre Abrechnungen zur aufsichtsrechtlichen Kontrolle einzureichen (vgl. Art. 5 Abs. 2 i.V.m. Art. 20 Abs. 2 AVEG). Da die Abrechnungen des Jahres 2010 somit unbestrittenermassen nie im Besitz der Vorinstanz waren, liegt kein amtliches Dokument im Sinne von Art. 5 BGÖ vor. Der Beschwerdegegnerin ist daher kein Zugang zu den Abrechnungen der Beschwerdeführerin aus dem Jahr 2010 zu gewähren. Die Beschwerde erweist sich im Ergebnis als begründet, weshalb die Verfügung vom 15. März 2013 aufzuheben ist.</w:t>
      </w:r>
    </w:p>
    <w:p>
      <w:r>
        <w:rPr>
          <w:b/>
        </w:rPr>
        <w:t>E. 6</w:t>
      </w:r>
    </w:p>
    <w:p>
      <w:r>
        <w:t>Bei diesem Verfahrensausgang erübrigt es sich, auf die weiteren Rügen der Beschwerdeführerin einzugehen. Insbesondere besteht keine Notwendigkeit, den geforderten Grundsatzentscheid zu treffen. Denn wie die Vorinstanz zu Recht angemerkt hat, steht der Beschwerdeführerin der Rechtsmittelweg uneingeschränkt offen, sollte sie in Zukunft erneut von einem Zugangsgesuch gemäss BGÖ betroffen sein.</w:t>
      </w:r>
    </w:p>
    <w:p>
      <w:r>
        <w:rPr>
          <w:b/>
        </w:rPr>
        <w:t>E. 7.1</w:t>
      </w:r>
    </w:p>
    <w:p>
      <w:r>
        <w:t>Die Kosten des Verfahrens vor dem Bundesverwaltungsgericht werden in der Regel der unterliegenden Partei auferlegt (Art. 63 Abs. 1 VwVG; Art. 1 ff. des Reglements vom 21. Februar 2008 über die Kosten und Entschädigungen vor dem Bundesverwaltungsgericht [VGKE, SR 173.320.2]). Hat eine Partei im erstinstanzlichen Verfahren Anträge gestellt oder das Verfahren veranlasst, wie vorliegend die Beschwerdegegnerin, so kann sie sich ihrer Kostenpflicht in dem von einer anderen Partei angestrengten Beschwerdeverfahren nicht dadurch entziehen, dass sie dort keine Anträge stellt; sie bleibt notwendige Gegenpartei und damit kostenpflichtig, soweit sie mit ihren im erstinstanzlichen Verfahren gestellten Anträgen unterliegt. Ausnahmen von den genannten Grundsätzen rechtfertigen sich insbesondere dann, wenn ein gravierender, von der Beschwerdegegnerin nicht mitverschuldeter Verfahrensfehler zur Gutheissung des Rechtsmittels führt und die Beschwerdegegnerin entweder die Gutheissung des Rechtsmittels beantragt oder sich eines Antrages enthalten hat (vgl. Urteil des Bundesgerichts 2C_435/2013 vom 18. Oktober 2013 E. 2.2 ff. mit Hinweisen). Obwohl sich die Beschwerdegegnerin nicht mit eigenen Anträgen am Beschwerdeverfahren beteiligt hat, gilt sie vorliegend als unterliegende Partei und hätte daher grundsätzlich die Verfahrenskosten zu tragen. Da indes die Gründe, die zur Gutheissung der Beschwerde geführt haben, ausschliesslich bei Verfahrensfehlern der Vorinstanz zu suchen sind, sind ihr die Verfahrenskosten gestützt auf Art. 63 Abs. 1 VwVG und Art. 6 Bst. b VGKE ausnahmsweise zu erlassen. Der obsiegenden Beschwerdeführerin sowie der Vorinstanz sind ebenfalls keine Verfahrenskosten aufzuerlegen (Art. 63 Abs. 1 und 2 VwVG). Der Beschwerdeführerin ist der geleistete Kostenvorschuss in der Höhe von Fr. 2'500.- nach Eintritt der Rechtskraft des vorliegenden Urteils zurückzuerstatten.</w:t>
      </w:r>
    </w:p>
    <w:p>
      <w:r>
        <w:rPr>
          <w:b/>
        </w:rPr>
        <w:t>E. 7.2</w:t>
      </w:r>
    </w:p>
    <w:p>
      <w:r>
        <w:t>Der nicht anwaltlich vertretenen obsiegenden Beschwerdeführerin sind keine verhältnismässig hohen Kosten entstanden, weshalb von der Zusprechung einer Parteientschädigung abzusehen ist (Art. 64 Abs. 1 VwVG sowie Art. 7 Abs. 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