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A-2035/2006 vom 24. April 2007</w:t>
      </w:r>
    </w:p>
    <w:p>
      <w:r>
        <w:t>Bundesverwaltungsgericht, 2007-04-24, DE</w:t>
      </w:r>
    </w:p>
    <w:p>
      <w:r>
        <w:rPr>
          <w:b/>
        </w:rPr>
        <w:t xml:space="preserve">Quelle: </w:t>
      </w:r>
      <w:r>
        <w:t>https://mcp.opencaselaw.ch/entscheid/bvger_A-2035_2006</w:t>
      </w:r>
    </w:p>
    <w:p>
      <w:r>
        <w:t>FR: TAF A-2035/2006 du 24 avril 2007</w:t>
      </w:r>
    </w:p>
    <w:p>
      <w:r>
        <w:t>IT: TAF A-2035/2006 del 24 aprile 2007</w:t>
      </w:r>
    </w:p>
    <w:p>
      <w:pPr>
        <w:pStyle w:val="Heading2"/>
      </w:pPr>
      <w:r>
        <w:t>Regeste</w:t>
      </w:r>
    </w:p>
    <w:p>
      <w:r>
        <w:t>Telekommunikation (Übriges)</w:t>
      </w:r>
    </w:p>
    <w:p>
      <w:pPr>
        <w:pStyle w:val="Heading2"/>
      </w:pPr>
      <w:r>
        <w:t>Erwägungen</w:t>
      </w:r>
    </w:p>
    <w:p>
      <w:r>
        <w:rPr>
          <w:b/>
        </w:rPr>
        <w:t>E. 1</w:t>
      </w:r>
    </w:p>
    <w:p>
      <w:r>
        <w:t>Die Beschwerde richtet sich gegen eine Verfügung des BAKOM. 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Das BAKOM ist eine Vorinstanz gemäss Art. 33 Bst. d VGG. Eine Ausnahme besteht im Bereich der Verwaltung von Adressierungselementen nicht.</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VGG).</w:t>
      </w:r>
    </w:p>
    <w:p>
      <w:r>
        <w:rPr>
          <w:b/>
        </w:rPr>
        <w:t>E. 1.2</w:t>
      </w:r>
    </w:p>
    <w:p>
      <w:r>
        <w:t>Die EDÖK hat das Beschwerdeverfahren an die REKO/INUM zur Beurteilung der Frage der Verwaltungsgebühren überwiesen. Nachdem das Bundesverwaltungsgericht - seine eigene Zuständigkeit vorausgesetzt - die hängigen Fälle sowohl der REKO/INUM als auch der EDÖK übernimmt, steht die Zuständigkeit des Bundesverwaltungsgerichtes ausser Frage. In der Bundesverwaltungsrechtspflege gilt der Grundsatz der Einheit des Prozesses. Dies bedeutet, dass strittige prozessuale Nebenfolgen zufolge ihres engen Sachzusammenhanges im gleichen Verfahren zu beurteilen sind wie der angefochtene Hauptpunkt der Verfügung (BGE 122 II 274 E. 1b; Fritz Gygi, Bundesverwaltungsrechtspflege, 2. Aufl., Bern 1983, S. 237 f.). Die Frage der Verwaltungsgebühren wäre demnach von der EDÖK direkt zu beurteilen gewesen. Die Zuständigkeit des Bundesverwaltungsgerichts wird dadurch zwar nicht berührt, dem Grundsatz der Einheit des Verfahrens ist indessen im Rahmen der Kostenverteilung für das vorliegende Verfahren Rechnung zu tragen.</w:t>
      </w:r>
    </w:p>
    <w:p>
      <w:r>
        <w:rPr>
          <w:b/>
        </w:rPr>
        <w:t>E. 1.3</w:t>
      </w:r>
    </w:p>
    <w:p>
      <w:r>
        <w:t>Zur Beschwerde ist nach Art. 48 Bst. a VwVG berechtigt, wer durch die angefochtene Verfügung berührt ist und ein schutzwürdiges Interesse an deren Aufhebung oder Änderung hat. Als mit Gebühren belastete Verfügungsadressatin ist die Beschwerdeführerin zur Beschwerde legitimiert.</w:t>
      </w:r>
    </w:p>
    <w:p>
      <w:r>
        <w:rPr>
          <w:b/>
        </w:rPr>
        <w:t>E. 1.4</w:t>
      </w:r>
    </w:p>
    <w:p>
      <w:r>
        <w:t>Auf die frist- und formgerecht erhobene Beschwerde ist daher einzutreten.</w:t>
      </w:r>
    </w:p>
    <w:p>
      <w:r>
        <w:rPr>
          <w:b/>
        </w:rPr>
        <w:t>E. 2</w:t>
      </w:r>
    </w:p>
    <w:p>
      <w:r>
        <w:t>Die Beschwerdeführerin macht geltend, unabhängig vom Ausgang des Verfahrens sei die Kostenerhebung für den Erlass der angefochtenen Verfügung unzulässig. In der Verordnung des UVEK vom 22. Dezember 1997 über Verwaltungsgebühren im Fernmeldebereich (hiernach Vo UVEK, SR 784.106.12) fehle eine Bestimmung, die die Erhebung einer Gebühr für den Erlass der angefochtenen Verfügung rechtfertige. Mit der Bezahlung der Zuteilungsgebühr von Fr. 60.- und der jährlichen Verwaltungsgebühr von Fr. 12.- pro Nummer sei die Aufsichtstätigkeit und die allgemeine Verwaltung der Vorinstanz abgedeckt. Die Beschwerdeführerin bestreitet damit einzig das Vorhandensein einer genügenden rechtlichen Grundlage für die Gebührenerhebung. Hingegen zieht sie den geltend gemachten Arbeitsaufwand des BAKOM nicht in Zweifel.</w:t>
      </w:r>
    </w:p>
    <w:p>
      <w:r>
        <w:rPr>
          <w:b/>
        </w:rPr>
        <w:t>E. 2.1</w:t>
      </w:r>
    </w:p>
    <w:p>
      <w:r>
        <w:t>Das BAKOM führt dagegen aus, die einmalige Zuteilungsgebühr und die jährlich wiederkehrende Verwaltungsgebühr deckten in erster Linie die Kosten für die Bewirtschaftung der einzeln zugeteilten Nummern in der elektronischen Datenbank, deren Investitionskosten, die Führung der Dossiers, die Kontakte zu den Nummerninhabern, die Behandlung von Reklamationen etc. Mit dem Begehren um Erlass einer beschwerdefähigen Verfügung habe die Beschwerdeführerin darüber hinausgehende Arbeiten ausgelöst. Da für die Ausarbeitung und den Erlass der Verfügung in der Vo UVEK keine spezifische Gebühr vorgesehen sei, habe die Vorinstanz die Gebühr gemäss Art. 1 Abs. 2, zweiter Satz, der Vo UVEK festgesetzt. Die Erarbeitung einer Verfügung betreffend die Identitätsbekanntgabe sei mit dem Verfassen einer Nummernwiderrufverfügung vergleichbar, weshalb es sich rechtfertige, denselben Stundensatz anzuwenden.</w:t>
      </w:r>
    </w:p>
    <w:p>
      <w:r>
        <w:rPr>
          <w:b/>
        </w:rPr>
        <w:t>E. 2.2</w:t>
      </w:r>
    </w:p>
    <w:p>
      <w:r>
        <w:t>Gemäss Art. 41 Abs. 2 des Fernmeldegesetzes vom 30. April 1997 (FMG, SR 784.10) legt das Departement die Verwaltungsgebühren im Fernmeldebereich fest. Es kann die Festlegung von Gebühren untergeordneter Bedeutung dem Bundesamt übertragen. Gemäss Art. 1 Abs. 1 Vo UVEK in der Fassung vom 4. Dezember 2000 (AS 2000 3036) erhebt die zuständige Behörde für die Behandlung von Eingaben bei der Gesuchstellerin eine Verwaltungsgebühr, berechnet nach der aufgewendeten Zeit bei einem für die betreffende Handlung festgelegten Stundenansatz; speziellere Bestimmungen bleiben vorbehalten. Wird für eine Handlung der zuständigen Behörde keine spezifische Verwaltungsgebühr festgelegt, so erhebt diese die Verwaltungsgebühr nach der aufgewendeten Zeit bei einem Stundenansatz, der für eine der betreffenden Handlung entsprechende Handlungsart oder -gruppe gilt. Da für die Behandlung des Gesuchs um Nichtbekanntgabe der Inhaberdaten keine spezifische Verwaltungsgebühr festgelegt ist, wendete die Vorinstanz Art. 21a Abs. 3 Vo UVEK betreffend den Widerruf einer einzeln zugeteilten Rufnummer analog an und ging von einem Stundenansatz von Fr. 260.- aus. Das BAKOM nahm zu Recht an, das Erarbeiten einer Verfügung betreffend die Bekanntgabe der Identität eines Rufnummerninhabers sei mit dem Erarbeiten einer Nummernwiderrufsverfügung vergleichbar. Bei beiden Tätigkeiten handelt es sich um das Redigieren eines juristischen Textes, bei dem vergleichbare Rechtsfragen zu klären und Abwägungen vorzunehmen sind. Dagegen bezieht sich die jährliche Verwaltungsgebühr auf reine Verwaltungshandlungen, welche mit dem Erlass einer Verfügung weder inhaltlich noch in Hinblick auf den dabei entstehenden Aufwand vergleichbar sind. Das Vorgehen des BAKOM ist damit nicht zu beanstanden. Die Beschwerdeführerin begründet denn auch nicht näher, weshalb dieses Vorgehen nicht rechtmässig sein soll. Der vom BAKOM angewandte Stundenansatz erscheint damit als rechtskonform.</w:t>
      </w:r>
    </w:p>
    <w:p>
      <w:r>
        <w:rPr>
          <w:b/>
        </w:rPr>
        <w:t>E. 2.3</w:t>
      </w:r>
    </w:p>
    <w:p>
      <w:r>
        <w:t>Die Beschwerde ist daher abzuweisen.</w:t>
      </w:r>
    </w:p>
    <w:p>
      <w:r>
        <w:rPr>
          <w:b/>
        </w:rPr>
        <w:t>E. 3</w:t>
      </w:r>
    </w:p>
    <w:p>
      <w:r>
        <w:t>Bei diesem Verfahrensausgang gilt die Beschwerdeführerin als unterliegend, weshalb sie grundsätzlich die Verfahrenskosten zu tragen hat. Die Verfahrenskosten können ausnahmsweise erlassen werden (Art. 63 Abs. 1 VwVG). Der Beschwerdeführerin wurden bereits im Entscheid der EDSK vom 2. August 2005 Verfahrenskosten auferlegt. Da die Beschwerde auch in Bezug auf die erstinstanzliche Verwaltungsgebühr bereits in diesem Entscheid hätte entschieden werden können, scheint es indessen nicht angemessen, der Beschwerdeführerin erneut Verfahrenskosten aufzuerlegen. Die Beschwerdeführerin ist nicht schlechter zu stellen, als wenn die EDSK direkt entschieden hätte. Die Verfahrenskosten sind der Beschwerdeführerin deshalb zu erlassen.</w:t>
      </w:r>
    </w:p>
    <w:p>
      <w:r>
        <w:rPr>
          <w:b/>
        </w:rPr>
        <w:t>E. 4</w:t>
      </w:r>
    </w:p>
    <w:p>
      <w:r>
        <w:t>Als unterliegender Partei steht der Beschwerdeführerin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