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A-2024/2015 vom 1. September 2015</w:t>
      </w:r>
    </w:p>
    <w:p>
      <w:r>
        <w:t>Bundesverwaltungsgericht, 2015-09-01, DE</w:t>
      </w:r>
    </w:p>
    <w:p>
      <w:r>
        <w:rPr>
          <w:b/>
        </w:rPr>
        <w:t xml:space="preserve">Quelle: </w:t>
      </w:r>
      <w:r>
        <w:t>https://mcp.opencaselaw.ch/entscheid/bvger_A-2024_2015</w:t>
      </w:r>
    </w:p>
    <w:p>
      <w:r>
        <w:t>FR: TAF A-2024/2015 du 1 septembre 2015</w:t>
      </w:r>
    </w:p>
    <w:p>
      <w:r>
        <w:t>IT: TAF A-2024/2015 del 1 settembre 2015</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Entscheid, der in Anwendung des Bundesgesetzes über Massnahmen zur Wahrung der inneren Sicherheit (BWIS, SR 120) und des Bundesgesetzes über den Datenschutz (DSG, SR 235.1) ergangen ist, stellt eine solche Verfügung dar. Das Fedpol gehört zu den Behörden nach Art. 33 Bst. d VGG und ist daher eine Vorinstanz des Bundesverwaltungsgerichts. Eine Ausnahme, was das Sachgebiet angeht, ist nicht gegeben (vgl. dazu Urteil des BVGer A-1713/2014 vom 17. November 2014 E. 1.1). Das Bundesverwaltungsgericht ist demnach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Adressat der angefochtenen Verfügung, mit der sein Gesuch um Löschung der über ihn in HOOGAN gespeicherten Daten abgewiesen wurde, ohne Weiteres zur Beschwerde legitimiert.</w:t>
      </w:r>
    </w:p>
    <w:p>
      <w:r>
        <w:rPr>
          <w:b/>
        </w:rPr>
        <w:t>E. 1.3</w:t>
      </w:r>
    </w:p>
    <w:p>
      <w:r>
        <w:t>Auf die frist- und formgerecht eingereichte Beschwerde (vgl. Art. 50 Abs. 1 und Art. 52 Abs. 1 VwVG) ist somit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2.2</w:t>
      </w:r>
    </w:p>
    <w:p>
      <w:r>
        <w:t>Das Bundesverwaltungsgericht legt seinem Beschwerdeentscheid denjenigen Sachverhalt zugrunde, der sich zum Zeitpunkt dieses Entscheids verwirklicht hat. Hat sich der massgebliche Sachverhalt seit dem Erlass der angefochtenen Verfügung geändert, ist dies somit zu berücksichtigen (vgl. BVGE 2011/43 E. 6.1, BVGE 2009/9 E. 3.3.1 und André Moser / Michael Beusch / Lorenz Kneubühler, Prozessieren vor dem Bundesverwaltungsgericht, 2. Auflage 2013, Rz. 2.204). Vorliegend ist daher dem Umstand Rechnung zu tragen, dass das Strafverfahren gegen den Beschwerdeführer am 30. April 2015 definitiv eingestellt worden ist.</w:t>
      </w:r>
    </w:p>
    <w:p>
      <w:r>
        <w:rPr>
          <w:b/>
        </w:rPr>
        <w:t>E. 3</w:t>
      </w:r>
    </w:p>
    <w:p>
      <w:r>
        <w:t>Zunächst ist ein Überblick über die rechtlichen Grundlagen zu geben, die im Zusammenhang mit der beanstandeten Eintragung bzw. deren Löschung massgeblich sind.</w:t>
      </w:r>
    </w:p>
    <w:p>
      <w:r>
        <w:rPr>
          <w:b/>
        </w:rPr>
        <w:t>E. 3.1</w:t>
      </w:r>
    </w:p>
    <w:p>
      <w:r>
        <w:t>Gemäss Art. 24a Abs. 1 BWIS betreibt die Vorinstanz ein elektronisches Informationssystem, in das Daten über Personen aufgenommen werden, die sich anlässlich von Sportveranstaltungen im In- und Ausland gewalttätig verhalten haben. Dieses Informationssystem trägt nach Art. 8 ff. der Verordnung vom 4. Dezember 2009 über verwaltungspolizeiliche Massnahmen des Bundesamtes für Polizei und über das Informationssystem HOOGAN (VVMH, SR 120.52) die Bezeichnung "HOOGAN".</w:t>
      </w:r>
    </w:p>
    <w:p>
      <w:r>
        <w:rPr>
          <w:b/>
        </w:rPr>
        <w:t>E. 3.2</w:t>
      </w:r>
    </w:p>
    <w:p>
      <w:r>
        <w:t>Die Voraussetzungen für eine Eintragung in HOOGAN sind in Art. 24a Abs. 2 BWIS näher geregelt. Diese Bestimmung lautet wie folgt: In das Informationssystem dürfen Informationen über Personen, gegen die Ausreisesperren, Massnahmen nach kantonalem Recht im Zusammenhang mit Gewalttätigkeiten anlässlich von Sportveranstaltungen oder andereMassnahmen wie Stadionverbote verhängt worden sind, aufgenommen werden, wenn: a. die Massnahme von einer richterlichen Behörde ausgesprochen oder bestätigt worden ist; b. die Massnahme aufgrund einer strafbaren Handlung ausgesprochen worden ist, die zur Anzeige an die zuständigen Behörden gebracht wurde; oder c. die Massnahme zur Wahrung der Sicherheit von Personen oder der Sportveranstaltung notwendig ist und glaubhaft gemacht werden kann, dass die Massnahme begründet ist. Während die in der Bestimmung erwähnten "Ausreisesperren" in Art. 24c ff. BWIS geregelt sind, ergeben sich die Massnahmen nach kantonalem Recht (insbesondere) aus Art. 4 bis 9 des Konkordats. Die ebenfalls erwähnten Stadionverbote sind sodann privatrechtlicher Natur, doch können die zuständigen Behörden den Organisatoren von Sportveranstaltungen nach Art. 7a Abs. 1 VVMH bzw. nach Art. 10 des Konkordats empfehlen, eine solche Massnahme auszusprechen.</w:t>
      </w:r>
    </w:p>
    <w:p>
      <w:r>
        <w:rPr>
          <w:b/>
        </w:rPr>
        <w:t>E. 3.3</w:t>
      </w:r>
    </w:p>
    <w:p>
      <w:r>
        <w:t>Besteht die Eintragung in HOOGAN zu Unrecht, ergeben sich die Ansprüche der betroffenen Person in erster Linie aus Art. 24a Abs. 6 Satz 2 BWIS. Danach hat die Vorinstanz unerhebliche Informationen zu vernichten und den Absender darüber zu benachrichtigen. Die Frage, ob gestützt auf Art. 25 Abs. 1 und 3 DSG weitere Ansprüche bestehen, kann vorliegend offen gelassen werden (eingehend dazu: BVGE 2014/46 E. 3.3 und 3.4).</w:t>
      </w:r>
    </w:p>
    <w:p>
      <w:r>
        <w:rPr>
          <w:b/>
        </w:rPr>
        <w:t>E. 4</w:t>
      </w:r>
    </w:p>
    <w:p>
      <w:r>
        <w:t>Erste Voraussetzung für eine Eintragung in HOOGAN ist gemäss Art. 24a Abs. 1 und 2 BWIS, dass sich die betreffende Person anlässlich einer Sportveranstaltung gewalttätig verhalten hat und aus diesem Grund eine Massnahme gegen sie ausgesprochen worden ist.</w:t>
      </w:r>
    </w:p>
    <w:p>
      <w:r>
        <w:rPr>
          <w:b/>
        </w:rPr>
        <w:t>E. 4.1</w:t>
      </w:r>
    </w:p>
    <w:p>
      <w:r>
        <w:t>Ein gewalttätiges Verhalten liegt gemäss Art. 4 Abs. 1 VVMH vor, wenn die betreffende Person im Vorfeld einer Sportveranstaltung, während einer solchen Veranstaltung oder im Nachgang dazu bestimmte Straftaten begangen hat, darunter Raufhandel nach Art. 133 StGB (vgl. Bst. a), Sachbeschädigung nach Art. 144 StGB (Bst. b) und Landfriedensbruch nach Art. 260 StGB (Bst. h). Nach Art. 4 Abs. 2 VVMH fällt darunter ferner "die Gefährdung der öffentlichen Sicherheit durch das Mitführen oder Verwenden von Waffen, Sprengmitteln, Schiesspulver oder pyrotechnischen Gegenständen". Das Konkordat umschreibt den Begriff des gewalttätigen Verhaltens in seinem Artikel 2 in gleicher Weise.</w:t>
      </w:r>
    </w:p>
    <w:p>
      <w:r>
        <w:rPr>
          <w:b/>
        </w:rPr>
        <w:t>E. 4.2</w:t>
      </w:r>
    </w:p>
    <w:p>
      <w:r>
        <w:t>Der Bundesrat hat in seiner Botschaft ausgeführt, Daten würden dann in HOOGAN registriert, wenn der Grund der Massnahme belegt werden könne (vgl. Botschaft vom 17. August 2005 zur Änderung des Bundesgesetzes über Massnahmen zur Wahrung der inneren Sicherheit, BBl 2005 5613, S. 5628). Darauf ist an dieser Stelle näher einzugehen.</w:t>
      </w:r>
    </w:p>
    <w:p>
      <w:r>
        <w:rPr>
          <w:b/>
        </w:rPr>
        <w:t>E. 4.2.1</w:t>
      </w:r>
    </w:p>
    <w:p>
      <w:r>
        <w:t>Nach Art. 5 VVMH bzw. Art. 3 des Konkordats gelten als Nachweis gewalttätigen Verhaltens unter anderem entsprechende Gerichtsurteile und polizeiliche Anzeigen sowie glaubwürdige Aussagen der Polizei oder des Sicherheitspersonals, die schriftlich festgehalten wurden. Wie das Bundesgericht klargestellt hat, führen diese Nachweise aber nicht automatisch zu einer der im Konkordat vorgesehenen Massnahmen. Bei der Beurteilung, ob eine Massnahme nach dem Konkordat angezeigt ist, sind die in Art. 3 des Konkordats erwähnten Unterlagen vielmehr im Einzelfall zu prüfen (vgl. BGE 140 I 2 E. 8; vgl. auch BGE 137 I 31 E. 8 in fine). Die Anordnung von konkreten Massnahmen hängt sodann von der Art und Schwere des gewalttätigen Verhaltens ab und muss verhältnismässig sein (vgl. BGE 140 I 2 E. 8 und BGE 137 I 31 E. 7.5.2). Dieselben Überlegungen gelten bei der Anordnung von Ausreisebeschränkungen in Bezug auf Art. 5 VVMH (vgl. dazu BVGE 2013/33 E. 6.2.2 und 7.2). Das Bundesverwaltungsgericht hat in seinem Urteil A-1713/2014 vom 17. November 2014 (publiziert in BVGE 2014/46) festgehalten, was die in Art. 4 bis 9 des Konkordats vorgesehenen Massnahmen betreffe, habe demnach schon die anordnende Behörde die Nachweise für das gewalttätige Verhalten zu beurteilen und die Frage der Verhältnismässigkeit zu prüfen. Handle es sich bei dieser Behörde um eine richterliche Behörde, erübrige sich grundsätzlich eine erneute Prüfung durch die Vorinstanz. Sei eine Massnahme lediglich von der Polizei ausgesprochen worden, bestehe aber die Möglichkeit, sie von einer richterlichen Behörde überprüfen zu lassen, könne die Vorinstanz grundsätzlich ebenfalls auf eine eigene Prüfung verzichten. Dies, weil die Eintragung wieder zu löschen sei, wenn die Massnahme von der überprüfenden Behörde aufgehoben werde (vgl. BVGE 2014/46 E. 4.2). Wie aus dem Urteil hervorgeht, ist in diesen Fällen grundsätzlich nur zu prüfen, ob die Massnahme mit einem gewalttätigen Verhalten im Sinn von Art. 4 VVMH begründet wird (vgl. BVGE 2014/46 E. 4.3.2).</w:t>
      </w:r>
    </w:p>
    <w:p>
      <w:r>
        <w:rPr>
          <w:b/>
        </w:rPr>
        <w:t>E. 4.2.2</w:t>
      </w:r>
    </w:p>
    <w:p>
      <w:r>
        <w:t>Zu beachten ist allerdings, dass in den in Art. 5 VVMH bzw. Art. 3 des Konkordats umschriebenen "Nachweisen" lediglich ein Verdacht zum Ausdruck kommt (vgl. dazu BGE 137 I 31 E. 5.2). Die Massnahmen nach Art. 4 bis 9 des Konkordats können daher unabhängig von einer strafrechtlichen Verurteilung angeordnet werden. Stellt sich in einem allfälligen Strafverfahren jedoch heraus, dass sich der Verdacht eines strafbaren Verhaltens nicht ausreichend erhärten lässt, dann können auch die Mass­nahmen nach Art. 4 bis 9 des Konkordats nicht mehr als gerechtfertigt erachtet werden (vgl. BVGE 2014/46 E. 4.4.1). Wie das Bundesgericht festgehalten hat, muss der Betroffene denn auch die Möglichkeit haben, die Aufhebung einer solchen Massnahme zu verlangen, wenn der Verdacht gewalttätigen Verhaltens sich nachträglich als ungerechtfertigt erweist. Sei die Massnahme unangefochten in Rechtskraft erwachsen, könne gestützt auf nachträglich bekannt gewordene erhebliche Tatsachen und Beweismittel unter Umständen ein Wiedererwägungsgesuch gestellt werden (vgl. Urteil des BGer 1C_88/2011 vom 15. Juni 2011 E. 3.5). Überprüft die anordnende Behörde somit selber, ob eine bereits rechtskräftige Massnahme aufzuheben ist, hat die Vorinstanz grundsätzlich das Resultat dieser Prüfung abzuwarten und von sich aus keine Löschung des Eintrags in HOOGAN vorzunehmen. Es kann jedoch die Konstellation eintreten, in der eine Massnahme bereits abgelaufen und daher nicht mehr wirksam ist, die Eintragung in HOOGAN gestützt auf Art. 12 VVMH aber noch nicht definitiv gelöscht wurde. In diesen Fällen stellt sich die Frage nach einer Aufhebung der Massnahme durch die anordnende Behörde nicht mehr, während über die Eintragung in HOOGAN aber noch zu befinden ist. Entsprechend hat in diesen Fällen die Vorinstanz zu prüfen, ob noch von einem gewalttätigen Verhalten ausgegangen werden kann (vgl. dazu BVGE 2014/46 E. 4.4.2).</w:t>
      </w:r>
    </w:p>
    <w:p>
      <w:r>
        <w:rPr>
          <w:b/>
        </w:rPr>
        <w:t>E. 4.2.3</w:t>
      </w:r>
    </w:p>
    <w:p>
      <w:r>
        <w:t>Von der soeben erwähnten Ausnahme abgesehen, hat im Fall der Massnahmen nach Art. 4 bis 9 des Konkordats somit grundsätzlich die anordnende Behörde und nicht die Vorinstanz die Nachweise für das gewalttätige Verhalten zu beurteilen. Auch im Fall der privatrechtlichen Stadionverbote ist indes zu prüfen, ob der Grund der Massnahme belegt wird. Die Stadionverbote werden, anders als die Massnahmen nach dem Konkordat, nicht von einer (richterlichen) Behörde angeordnet oder bestätigt. Vom Grundsatz her obliegt es im Fall der Stadionverbote daher der Vorinstanz zu beurteilen, ob genügend Nachweise für das gewalttätige Verhalten vorliegen. Wie aus dem Urteil des Bundesverwaltungsgerichts vom 17. November 2014 hervorgeht, kann ein gewalttätiges Verhalten allerdings als nachgewiesen erachtet werden, solange aufgrund desselben Verhaltens auch eine Massnahme nach Art. 4 bis 9 des Konkordats in Kraft ist (vgl. BVGE 2014/46 E. 4.3.2 in fine).</w:t>
      </w:r>
    </w:p>
    <w:p>
      <w:r>
        <w:rPr>
          <w:b/>
        </w:rPr>
        <w:t>E. 4.3</w:t>
      </w:r>
    </w:p>
    <w:p>
      <w:r>
        <w:t>Vorliegend hat die Polizei Basel-Landschaft das am 27. August 2014 ausgesprochene Rayonverbot widerrufen. Mit Urteil vom 15. Dezember 2014 hat zudem das Verwaltungsgericht des Kantons Aargau das am 16. August 2014 von der Kantonspolizei Aargau ausgesprochene Rayonverbot aufgehoben und die Sache zur Neubeurteilung an diese zurückgewiesen. Zur Zeit ist daher einzig noch das Stadionverbot in Kraft. Doch hat die Kantonspolizei Aargau gemäss dem Rückweisungsentscheid des Verwaltungsgerichts noch darüber zu entscheiden, ob wieder ein Rayonverbot anzuordnen oder definitiv auf ein solches zu verzichten ist. Sollte wieder ein Rayonverbot angeordnet werden, könnte ein gewalttätiges Verhalten als nachgewiesen erachtet werden. Es rechtfertigt sich indes nicht, den Entscheid der Kantonspolizei Aargau noch länger abzuwarten. Vielmehr ist eine eigenständige Prüfung der Frage vorzunehmen, ob (noch) genügend Nachweise für ein gewalttätiges Verhalten vorliegen. Wie die nachfolgenden Ausführungen zeigen, erweist sich dabei der Standpunkt der Vorinstanz, wonach der Vorwurf des Landfriedensbruchs zwar weggefallen sei, nicht jedoch jener der Sachbeschädigung, ohnehin als zutreffend.</w:t>
      </w:r>
    </w:p>
    <w:p>
      <w:r>
        <w:rPr>
          <w:b/>
        </w:rPr>
        <w:t>E. 4.3.1</w:t>
      </w:r>
    </w:p>
    <w:p>
      <w:r>
        <w:t>Die Staatsanwaltschaft Lenzburg-Aarau hat das aufgrund der Ereignisse vom 15. Mai 2014 gegen den Beschwerdeführer eröffnete Strafverfahren am 30. April 2015 eingestellt. Gemäss dem Dispositiv der Einstellungsverfügung bezog sie sich dabei auf "das Strafverfahren (...) wegen Raufhandel und Landfriedensbruch". Aus der Begründung ergibt sich aber unmissverständlich, dass das Strafverfahren vollständig eingestellt wird, d.h. betreffend sämtliche in Frage kommende Straftatbestände. Zu beachten ist dabei, dass die Staatsanwaltschaft auch allfällige in diesem Zusammenhang begangene Übertretungen zu beurteilen hatte (vgl. Art. 17 Abs. 2 der Strafprozessordnung [StPO, SR 312.0]). Wäre sie zum Schluss gekommen, dass zwar keine Verbrechen oder Vergehen, aber immerhin Übertretungen zu verfolgen sind, hätte sie die Sache insoweit an die Übertretungsstrafbehörde überwiesen.</w:t>
      </w:r>
    </w:p>
    <w:p>
      <w:r>
        <w:rPr>
          <w:b/>
        </w:rPr>
        <w:t>E. 4.3.2</w:t>
      </w:r>
    </w:p>
    <w:p>
      <w:r>
        <w:t>Das Bundesverwaltungsgericht hat in seinem Urteil vom 17. No­vember 2014 dargelegt, dass zumindest dann, wenn keine besonderen Gründe dagegen sprechen, auf die Beurteilung der Strafbehörden abzustellen ist (vgl. BVGE 2014/46 E. 4.4.3). Einer Einstellungsverfügung ist dabei nicht generell weniger Gewicht beizumessen als einem freisprechenden Strafurteil. Bedingung für die Gleichstellung mit einem Freispruch ist aber, dass die Verfahrenseinstellung aufgrund unzureichender Verdachtsgründe erfolgt und nicht aus anderen Gründen (vgl. BVGE 2014/46 E. 4.4.4).</w:t>
      </w:r>
    </w:p>
    <w:p>
      <w:r>
        <w:rPr>
          <w:b/>
        </w:rPr>
        <w:t>E. 4.3.3</w:t>
      </w:r>
    </w:p>
    <w:p>
      <w:r>
        <w:t>Die Staatsanwaltschaft hielt in ihrer Einstellungsverfügung fest, hinsichtlich der Tatbestände des Raufhandels (Art. 133 StGB) und des Landfriedensbruchs (Art. 260 StGB) lasse sich kein Tatverdacht erhärten, der eine Anklage rechtfertige. Die Verfahrenseinstellung erfolgte insoweit also aufgrund unzureichender Verdachtsgründe. Weiter führte die Staatsanwaltschaft aus, dass durch das Verlassen des im Eintrittsbillet festgelegten Sektors und Betreten des umfriedeten Spielfelds der Tatbestand des Hausfriedensbruchs (Art. 186 StGB) erfüllt werden könne. Der FC Aarau habe jedoch auf einen Strafantrag wegen Hausfriedensbruch verzichtet. In Bezug darauf seien die Prozessvoraussetzungen daher nicht erfüllt. Die Verfahrenseinstellung erfolgte diesbezüglich also nicht aufgrund unzureichender Verdachtsgründe, sondern weil es sich um ein Antragsdelikt handelt und es an einem Strafantrag fehlt. Dass der Beschwerdeführer unberechtigterweise das (umfriedete) Spielfeld betreten hat, ist denn auch unbestritten. Allerdings ist fraglich, ob allein dies schon ein gewalttätiges Verhalten darstellt, zumal der Tatbestand des Hausfriedensbruchs in Art. 4 Abs. 1 VVMH nicht erwähnt wird. Unbestritten ist schliesslich, dass der Beschwerdeführer einen kleines Stück des Rasens herausgeschnitten und mitgenommen hat. Dieses soll "handflächengross" gewesen sein (vgl. Urteil des Verwaltungsgerichts des Kantons Aargau vom 15. Dezember 2014, S. 16 oben). Darin kann eine Sachbeschädigung im Sinn von Art. 144 Abs. 1 StGB gesehen werden. Die Staatsanwaltschaft äussert sich in ihrer Einstellungsverfügung indes nicht dazu. Da es sich wiederum um ein Antragsdelikt handelt und kein Strafantrag vorliegt, hatte sie dazu auch keinen Anlass. Gemäss Art. 4 Abs. 1 Bst. b VVMH fallen Sachbeschädigungen unter den Begriff des gewalttätigen Verhaltens. Die vom Beschwerdeführer begangene Sachbeschädigung dürfte zwar als geringfügig im Sinn von Art. 172ter StGB zu qualifizieren sein und damit eine blosse Übertretung darstellen. Doch kann auch in Übertretungen ein gewalttätiges Verhalten gesehen werden (vgl. dazu BGE 140 I 2 E. 8).</w:t>
      </w:r>
    </w:p>
    <w:p>
      <w:r>
        <w:rPr>
          <w:b/>
        </w:rPr>
        <w:t>E. 4.3.4</w:t>
      </w:r>
    </w:p>
    <w:p>
      <w:r>
        <w:t>Von einem gewalttätigen Verhalten im Sinn von Art. 4 VVMH ist also insofern auszugehen, als der Beschwerdeführer eine Sachbeschädigung begangen hat. Ob allein das Betreten des Spielfelds ein gewalttätiges Verhalten im Sinn dieser Bestimmung dargestellt hätte, kann offen gelassen werden.</w:t>
      </w:r>
    </w:p>
    <w:p>
      <w:r>
        <w:rPr>
          <w:b/>
        </w:rPr>
        <w:t>E. 4.4</w:t>
      </w:r>
    </w:p>
    <w:p>
      <w:r>
        <w:t>Das Stadionverbot geht somit auf ein gewalttätiges Verhalten des Beschwerdeführers anlässlich einer Sportveranstaltung zurück. Die erste Voraussetzung für die Eintragung in HOOGAN ist damit erfüllt.</w:t>
      </w:r>
    </w:p>
    <w:p>
      <w:r>
        <w:rPr>
          <w:b/>
        </w:rPr>
        <w:t>E. 5</w:t>
      </w:r>
    </w:p>
    <w:p>
      <w:r>
        <w:t>Zweite Voraussetzung für eine Eintragung in HOOGAN ist, dass eine der alternativen Bedingungen von Art. 24a Abs. 2 Bst. a bis c BWIS erfüllt ist.</w:t>
      </w:r>
    </w:p>
    <w:p>
      <w:r>
        <w:rPr>
          <w:b/>
        </w:rPr>
        <w:t>E. 5.1</w:t>
      </w:r>
    </w:p>
    <w:p>
      <w:r>
        <w:t>Gemäss Buchstabe a der erwähnten Bestimmung können Massnahmen in HOOGAN aufgenommen werden, die von einer richterlichen Behörde ausgesprochen oder bestätigt worden sind. Bei Stadionverboten ist dies von Vornherein nicht der Fall.</w:t>
      </w:r>
    </w:p>
    <w:p>
      <w:r>
        <w:rPr>
          <w:b/>
        </w:rPr>
        <w:t>E. 5.2</w:t>
      </w:r>
    </w:p>
    <w:p>
      <w:r>
        <w:t>Gemäss Buchstabe b können weiter Massnahmen aufgrund von strafbaren Handlungen, die zur Anzeige an die zuständigen Behörden gebracht wurden, in HOOGAN aufgenommen werden. Anders als im Fall von Buchstabe a wird somit zwar nicht verlangt, dass die Massnahme von einer richterlichen Behörde geprüft wurde, doch muss parallel ein Strafverfahren eingeleitet worden sein: Wie bereits aufgezeigt (vgl. E. 4.2.2), kann in der Folge die Aufhebung der Massnahme bzw. die Löschung der Eintragung verlangt werden, wenn sich der Verdacht eines strafbaren Verhaltens im Strafverfahren nicht ausreichend erhärten lässt. Vorliegend wurde im Zusammenhang mit den Ereignissen vom 15. Mai 2014 Strafanzeige gegen den Beschwerdeführer erstattet bzw. von der Polizei gegen diesen rapportiert. Unterdessen lassen sich dem Beschwerdeführer indes allein noch Sachbeschädigung und Hausfriedensbruch vorwerfen. Dabei handelt es sich um Antragsdelikte, entsprechende Strafanträge liegen jedoch nicht vor (vgl. E. 4.3). Unter diesen Umständen können die Sachbeschädigung und der Hausfriedensbruch nicht als "zur Anzeige an die zuständigen Behörden gebracht" gelten. Denn mangels Strafantrag konnten diese Delikte nicht untersucht werden. Die Regelung von Buchstabe b bezieht sich aber, wie soeben ausgeführt, gerade auf die Fälle, in denen der Tatverdacht in einem Strafverfahren geprüft wird. Jene Massnahmen, die weder von einer richterlichen Behörde geprüft wurden noch auf einem Sachverhalt beruhen, der von den Strafbehörden untersucht wird, werden demgegenüber von Buchstabe c erfasst.</w:t>
      </w:r>
    </w:p>
    <w:p>
      <w:r>
        <w:rPr>
          <w:b/>
        </w:rPr>
        <w:t>E. 5.3</w:t>
      </w:r>
    </w:p>
    <w:p>
      <w:r>
        <w:t>Gemäss Buchstabe c kann eine Massnahme in HOOGAN aufgenom­men werden, wenn sie zur Wahrung der Sicherheit von Personen oder einer Sportveranstaltung notwendig ist.</w:t>
      </w:r>
    </w:p>
    <w:p>
      <w:r>
        <w:rPr>
          <w:b/>
        </w:rPr>
        <w:t>E. 5.3.1</w:t>
      </w:r>
    </w:p>
    <w:p>
      <w:r>
        <w:t>Gestützt auf diese Regelung kann eine Eintragung somit auch erfolgen, wenn die formellen Voraussetzungen der Buchstaben a oder b nicht erfüllt sind. Im Gegenzug hat die Vorinstanz jedoch zu prüfen, ob die Massnahme im Hinblick auf die Sicherheit von Personen oder von Sportveranstaltungen notwendig ist. Dies bedeutet, dass sich die Massnahme gemessen an diesem Ziel als verhältnismässig erweisen muss. Nachfolgend ist demnach eine entsprechende Prüfung vorzunehmen. Ob die Vorinstanz Stadionverbote, anders als Massnahmen nach Art. 4 bis 9 des Konkordats, generell auf Verhältnismässigkeit hin zu prüfen hat (vgl. dazu BVGE 2014/46 E. 4.3.2 in fine), kann unter diesen Umständen weiterhin offen gelassen werden.</w:t>
      </w:r>
    </w:p>
    <w:p>
      <w:r>
        <w:rPr>
          <w:b/>
        </w:rPr>
        <w:t>E. 5.3.2</w:t>
      </w:r>
    </w:p>
    <w:p>
      <w:r>
        <w:t>Gemäss Lehre und Rechtsprechung umfasst die Verhältnismässigkeit drei Elemente, die kumulativ beachtet werden müssen: Erstens muss die Massnahme geeignet sein, das im öffentlichen Interesse angestrebte Ziel zu erreichen. Zweitens muss sie erforderlich sein, um dieses Ziel zu verwirklichen; d.h. sie hat zu unterbleiben, wenn eine gleich geeignete, aber mildere Massnahme für den angestrebten Erfolg ausreichen würde. Drittens muss die Massnahme ein vernünftiges Verhältnis zwischen dem angestrebten Ziel und dem Eingriff, den sie für den betroffenen Privaten bewirkt, wahren. Nur in diesem Fall ist sie dem Privaten zumutbar (vgl. Ulrich Häfelin / Georg Müller / Felix Uhlmann, Allgemeines Verwaltungsrecht, 6. Auflage 2010 Rz. 586 ff.).</w:t>
      </w:r>
    </w:p>
    <w:p>
      <w:r>
        <w:rPr>
          <w:b/>
        </w:rPr>
        <w:t>E. 5.3.3</w:t>
      </w:r>
    </w:p>
    <w:p>
      <w:r>
        <w:t>Vorab ist die Tragweite des gegenüber dem Beschwerdeführer ausgesprochenen schweizweiten Stadionverbots zu bestimmen: Solche Stadionverbote werden aufgrund des Hausrechts des jeweiligen Veranstalters des Fussballspiels ausgesprochen. Der betroffenen Person ist der Besuch sämtlicher vom Schweizerischen Fussballverband (SFV), seinen Abteilungen, Regionalverbänden und Clubs durchgeführten Wettbewerbs- und Freundschaftsspiele untersagt. Die Stadionverbote werden zudem von der "Swiss Ice Hockey Federation" (SIHF) übernommen (vgl. "Merkblatt Stadionverbot" [Teil der Beilage 1 zur Vernehmlassung der Vor­instanz]). Das Verbot bezieht sich mithin auf sämtliche Spiele der Fussball- und der Eishockey-Ligen in der Schweiz.</w:t>
      </w:r>
    </w:p>
    <w:p>
      <w:r>
        <w:rPr>
          <w:b/>
        </w:rPr>
        <w:t>E. 5.3.4</w:t>
      </w:r>
    </w:p>
    <w:p>
      <w:r>
        <w:t>Das Stadionverbot verunmöglicht es dem Beschwerdeführer somit, die genannten Sportveranstaltungen zu besuchen, womit er auch davon abgehalten wird, sich anlässlich dieser Veranstaltungen an Gewalttätigkeiten zu beteiligen. Es erweist sich damit als geeignet, das angestrebte Ziel, nämlich die Sicherheit von Personen und von Sportveranstaltungen, zu erreichen.</w:t>
      </w:r>
    </w:p>
    <w:p>
      <w:r>
        <w:rPr>
          <w:b/>
        </w:rPr>
        <w:t>E. 5.3.5</w:t>
      </w:r>
    </w:p>
    <w:p>
      <w:r>
        <w:t>Unklar erscheint hingegen, ob es im Hinblick auf dieses Ziel als erforderlich bezeichnet werden kann, den Beschwerdeführer von sämtlichen Spielen sowohl der Fussball- als auch der Eishockey-Ligen in der Schweiz auszuschliessen. So galten die Rayonverbote, die von der Kantonspolizei Aargau und von der Polizei Basel-Landschaft angeordnet worden waren, nur für die Spielorte des FC Basel. Sie waren insofern milder ausgestaltet. Es fragt sich daher, ob das Stadionverbot ebenfalls auf Spiele des FC Basel oder wenigstens auf Spiele höherer Spielklassen (Super- und Challenge-League bzw. NLA und NLB) hätte beschränkt werden können.</w:t>
      </w:r>
    </w:p>
    <w:p>
      <w:r>
        <w:rPr>
          <w:b/>
        </w:rPr>
        <w:t>E. 5.3.6</w:t>
      </w:r>
    </w:p>
    <w:p>
      <w:r>
        <w:t>Unklar erscheint weiter, ob das Stadionverbot dem Beschwerdeführer zumutbar ist: Wie ausgeführt (E. 4.3), hat der Beschwerdeführer am 15. Mai 2014 nach Spielende unberechtigterweise das Spielfeld betreten, ein kleines (handflächengrosses) Stück des Rasens herausgeschnitten und dieses mitgenommen. Die Polizei Basel-Landschaft ist bereits in ihrer Verfügung vom 24. November 2014 davon ausgegangen, dass dem Beschwerdeführer allein dieses Verhalten zur Last gelegt werden kann. Sie hat das für die Umgebung des Stadions St.-Jakob-Park in Basel ausgesprochene Rayonverbot gestützt darauf für unverhältnismässig erachtet. Auch das Verwaltungsgericht des Kantons Aargau hat in seinem Urteil vom 15. Dezem­ber 2014 (S. 20 oben) bereits auf die "geringfügige Tragweite der vom Beschwerdeführer begangenen Sachbeschädigung" hingewiesen sowie auf die "Tatsache, dass er anhand der zu den Akten gereichten Videoaufzeichnungen nicht zweifelsfrei als Teilnehmer der gewaltbereiten 'Zusammenrottung' identifiziert werden kann und keine Gewalt an Personen verübt hat". Es hat sodann festgehalten, wenn keine sonstigen Anhaltspunkte vorlägen, die den Beschwerdeführer als besonderes Risiko für die öffentliche Sicherheit an Sportveranstaltungen erscheinen liessen, sei die Laufzeit des von der Kantonspolizei Aargau erlassenen, zweijährigen Rayonverbots wohl merklich einzuschränken. Genauso wie die aufgehobenen Rayonverbote verunmöglicht das Stadionverbot dem Beschwerdeführer den Besuch der Spiele des FC Basel. Folgt man den Ausführungen der Polizei Basel-Landschaft und des Verwaltungsgerichts des Kantons Aargau, ist eine solche Massnahme nicht als besonders dringlich zu betrachten. Aus Sicht des Bundesverwaltungsgerichts ist daher fraglich, ob das Stadionverbot noch ein Vernünftiges Verhältnis zwischen dem angestrebten Ziel und dem Eingriff, den es für den Beschwerdeführer bewirkt, wahrt. Dies umso mehr, als es nicht auf Spiele des FC Basel beschränkt ist.</w:t>
      </w:r>
    </w:p>
    <w:p>
      <w:r>
        <w:rPr>
          <w:b/>
        </w:rPr>
        <w:t>E. 5.3.7</w:t>
      </w:r>
    </w:p>
    <w:p>
      <w:r>
        <w:t>Ob sich die Eintragung des Stadionverbots auf Buchstabe c von Art. 24a Abs. 2 BWIS stützen lässt, ist demnach vertieft zu prüfen. Die Vorinstanz hat sich in der angefochtenen Verfügung mit dieser Frage nicht auseinandergesetzt. Auch liegen keine anderen Fälle vor, in denen sie Gelegenheit gehabt hätte, bezüglich dieser Bestimmung eine eigene Praxis zu definieren. Wollte das Bundesverwaltungsgericht vorliegend in der Sache selbst entscheiden, müsste es daher sein eigenes Ermessen anstelle desjenigen der Vorinstanz setzen. Es ist daher angezeigt, die Sache gestützt auf Art. 61 Abs. 1 VwVG an die Vorinstanz zurückzuweisen.</w:t>
      </w:r>
    </w:p>
    <w:p>
      <w:r>
        <w:rPr>
          <w:b/>
        </w:rPr>
        <w:t>E. 5.4</w:t>
      </w:r>
    </w:p>
    <w:p>
      <w:r>
        <w:t>Die Vorinstanz wird somit zu beurteilen haben, ob die Bedingung von Art. 24a Abs. 2 Bst. c BWIS erfüllt ist. Sollte dies nicht der Fall sein, wäre das Stadionverbot aus HOOGAN zu löschen.</w:t>
      </w:r>
    </w:p>
    <w:p>
      <w:r>
        <w:rPr>
          <w:b/>
        </w:rPr>
        <w:t>E. 6</w:t>
      </w:r>
    </w:p>
    <w:p>
      <w:r>
        <w:t>Der Vollständigkeit halber bleibt noch Folgendes auszuführen: Mit der Löschung des Stadionverbots würde der Beschwerdeführer erreichen, dass er in HOOGAN nicht mehr verzeichnet ist. Das Stadionverbot selber würde durch die Löschung des Eintrags allerdings nicht aufgehoben. Es bleibt in jedem Fall gültig, bis die festgelegte Dauer abgelaufen ist oder es von einer dafür zuständigen Stelle aufgehoben wird. Wie die Regelung von Art. 24a BWIS und die vorstehenden Ausführungen zeigen, wäre diese Diskrepanz zwischen Gültigkeit und fehlender Eintragung des Stadionverbots indes nicht "systemwidrig": HOOGAN ist nicht als Datenbank analog dem Strafregister konzipiert, in die eine bestimmte Kategorie von Anordnungen konsequent einzutragen ist. In HOOGAN kann vielmehr ein weit umschriebener Kreis von (kantonalen und privaten) Massnahmen eingetragen werden, wobei dafür aber die (im Bundesrecht festgelegten) Voraussetzungen erfüllt sein müssen.</w:t>
      </w:r>
    </w:p>
    <w:p>
      <w:r>
        <w:rPr>
          <w:b/>
        </w:rPr>
        <w:t>E. 7</w:t>
      </w:r>
    </w:p>
    <w:p>
      <w:r>
        <w:t>Nach dem Gesagten ist die Beschwerde gutzuheissen. Die angefochtene Verfügung ist aufzuheben und die Sache zur Neubeurteilung im Sinne der Erwägungen an die Vorinstanz zurückzuweisen.</w:t>
      </w:r>
    </w:p>
    <w:p>
      <w:r>
        <w:rPr>
          <w:b/>
        </w:rPr>
        <w:t>E. 8.1</w:t>
      </w:r>
    </w:p>
    <w:p>
      <w:r>
        <w:t>Die Verfahrenskosten werden in der Regel der unterliegenden Partei auferlegt; unterliegt diese nur teilweise, so werden sie ermässigt (vgl. Art. 63 Abs. 1 VwVG). In der Verwaltungsrechtspflege des Bundes gilt die Rückweisung in der Sache an die Vorinstanz zu weiteren Abklärungen und neuem Entscheid (mit noch offenem Ausgang) praxisgemäss als volles Obsiegen der Beschwerde führenden Partei (vgl. statt vieler BGE 137 V 57 E. 2, BGE 132 V 215 E. 6.1, Urteil des BGer 1C_397/2009 vom 26. April 2010 E. 6 und Urteil des BVGer A-6432/2012 vom 28. März 2013 E. 4.1). Der Beschwerdeführer ist demnach als obsiegend zu betrachten, weshalb ihm keine Verfahrenskosten aufzuerlegen sind. Der geleistete Kostenvorschuss von Fr. 800.- ist ihm nach Eintritt der Rechtskraft des vorliegenden Urteils zurückzuerstatten.</w:t>
      </w:r>
    </w:p>
    <w:p>
      <w:r>
        <w:rPr>
          <w:b/>
        </w:rPr>
        <w:t>E. 8.2</w:t>
      </w:r>
    </w:p>
    <w:p>
      <w:r>
        <w:t>Obsiegende Parteien haben für die ihnen erwachsenen notwendigen und verhältnismässig hohen Kosten Anspruch auf eine Parteientschädigung (vgl. Art. 64 Abs. 1 VwVG und Art. 7 ff. des Reglements vom 21. Februar 2008 über die Kosten und Entschädigungen vor dem Bundesverwaltungsgericht [VGKE, SR 173.320.2]). Da sich der Beschwerdeführer nicht von einem Anwalt oder einem anderen berufsmässigen Vertreter hat vertreten lassen, sind bei ihm indes keine ersatzfähigen Kosten angefallen. Es ist ihm daher keine Parteienschädigung zuzusprechen.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