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A-2022/2006 vom 1. Februar 2007</w:t>
      </w:r>
    </w:p>
    <w:p>
      <w:r>
        <w:t>Bundesverwaltungsgericht, 2007-02-01, DE</w:t>
      </w:r>
    </w:p>
    <w:p>
      <w:r>
        <w:rPr>
          <w:b/>
        </w:rPr>
        <w:t xml:space="preserve">Quelle: </w:t>
      </w:r>
      <w:r>
        <w:t>https://mcp.opencaselaw.ch/entscheid/bvger_A-2022_2006</w:t>
      </w:r>
    </w:p>
    <w:p>
      <w:r>
        <w:t>FR: TAF A-2022/2006 du 1 février 2007</w:t>
      </w:r>
    </w:p>
    <w:p>
      <w:r>
        <w:t>IT: TAF A-2022/2006 del 1 febbraio 2007</w:t>
      </w:r>
    </w:p>
    <w:p>
      <w:pPr>
        <w:pStyle w:val="Heading2"/>
      </w:pPr>
      <w:r>
        <w:t>Regeste</w:t>
      </w:r>
    </w:p>
    <w:p>
      <w:r>
        <w:t>Hausinstallationen</w:t>
      </w:r>
    </w:p>
    <w:p>
      <w:pPr>
        <w:pStyle w:val="Heading2"/>
      </w:pPr>
      <w:r>
        <w:t>Erwägungen</w:t>
      </w:r>
    </w:p>
    <w:p>
      <w:r>
        <w:rPr>
          <w:b/>
        </w:rPr>
        <w:t>E. 1</w:t>
      </w:r>
    </w:p>
    <w:p>
      <w:r>
        <w:t>Das Bundesverwaltungsgericht ist zur Behandlung von Beschwerden gegen das EStI und zur Übernahme des vorliegenden Verfahrens von der REKO/INUM zuständig (Art. 21 und 23 des Bundesgesetzes vom 24. Juni 1902 betreffend die elektrischen Schwach- und Starkstromanlagen [EleG; SR 734.0] i.V.m. Art. 53 Abs. 2 des Bundesgesetzes vom 17. Juni 2005 über das Bundesverwaltungsgericht [VGG; SR 173.32]). Die Beschwerdelegitimation (Art. 48 des Bundesgesetzes vom 20. Dezember 1968 über das Verwaltungsverfahren [VwVG; SR 172.021]) sowie die übrigen Sachurteilsvoraussetzungen (Art. 52 und 63 Abs. 4 VwVG) sind erfüllt, so dass auf die Beschwerde einzutreten ist.</w:t>
      </w:r>
    </w:p>
    <w:p>
      <w:r>
        <w:rPr>
          <w:b/>
        </w:rPr>
        <w:t>E. 2</w:t>
      </w:r>
    </w:p>
    <w:p>
      <w:r>
        <w:t>Gestützt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und Mängel unverzüglich beheben lassen (Art. 5 Abs. 1 und 3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(Art. 36 Abs. 1 NIV). Wird der Sicherheitsnachweis trotz zweimaliger Mahnung nicht innerhalb der festgesetzten Frist eingereicht, so übergibt die Netzbetreiberin dem EStI die Durchsetzung der periodischen Kontrolle (Art. 36 Abs. 3 NIV).</w:t>
      </w:r>
    </w:p>
    <w:p>
      <w:r>
        <w:rPr>
          <w:b/>
        </w:rPr>
        <w:t>E. 3</w:t>
      </w:r>
    </w:p>
    <w:p>
      <w:r>
        <w:t>Vorliegend geht es um einen periodischen Sicherheitsnachweis für die gesamte elektrische Installation der im Eigentum des Beschwerdeführers stehenden Liegenschaft. Hierzu forderte die Aare Energie AG als zuständige Netzbetreiberin den Beschwerdeführer erstmals am 16. Oktober 2003 auf, eine Installationskontrolle durchzuführen und den entsprechenden Sicherheitsnachweis bis am 16. April 2004 einzureichen. Am 1. Juli und 25. Oktober 2004 erliess sie eine zweite und dritte Aufforderung. Am 4. November 2004 verlängerte sie auf Gesuch des Beschwerdeführers hin die Frist bis am 28. Mai 2005. Weil der Beschwerdeführer auch auf eine weitere Aufforderung vom 21. Juli 2005 nicht reagierte, übergab die Netzbetreiberin dem EStI am 10. November 2005 die Unterlagen. Dieses setzte dem Beschwerdeführer am 16. Dezember 2005 eine bis am 16. März 2006 verlängerte Frist zur Einreichung des Sicherheitsnachweises und drohte den Erlass einer gebührenpflichtigen Verfügung an. Der Beschwerdeführer teilte dem EStI am 2. Februar 2006 mit, die Mängel seien anfangs 2005 behoben worden, die beigezogene Firma weigere sich aber, den Sicherheitsnachweis an die Netzbetreiberin weiter zu leiten. Die einzige Möglichkeit bestehe darin, dass das EStI den Elektriker auffordere, den Sicherheitsnachweis einzureichen. Weil der Beschwerdeführer gemäss einer Mitteilung der Netzbetreiberin vom 29. August 2006 den Sicherheitsnachweis immer noch nicht eingereicht hatte, erliess die Vorinstanz am 31. August 2006 die angefochtene Verfügung.</w:t>
      </w:r>
    </w:p>
    <w:p>
      <w:r>
        <w:rPr>
          <w:b/>
        </w:rPr>
        <w:t>E. 4</w:t>
      </w:r>
    </w:p>
    <w:p>
      <w:r>
        <w:t>Unbestritten ist, dass der Sicherheitsnachweis nicht innert der mehrfach verlängerten bzw. neu angesetzten Frist - zuletzt bis am 16. März 2006 - eingereicht worden ist.</w:t>
      </w:r>
    </w:p>
    <w:p>
      <w:r>
        <w:rPr>
          <w:b/>
        </w:rPr>
        <w:t>E. 4.1</w:t>
      </w:r>
    </w:p>
    <w:p>
      <w:r>
        <w:t>Mit der Vorinstanz ist einig zu gehen, dass es Aufgabe und Pflicht des Eigentümers der Liegenschaft ist, den Nachweis über den korrekten Zustand der elektrischen Hausinstallationen zu erbringen (vgl. Art. 5 Abs. 1 zweiter Satz i.V.m. Art. 36 Abs. 1 NIV). Der Beschwerdeführer wurde denn auch auf diesen Umstand in den Schreiben der Aare Energie AG vom 16. Oktober 2003 und des EStI vom 16. Dezember 2005 hingewiesen. Der Einwand des Beschwerdeführers, es könne nicht ihm angelastet werden, wenn der von ihm mit der Mängelbehebung betraute Elektriker sich weigere, den Sicherheitsnachweis der Netzbetreiberin einzureichen, geht somit fehl.</w:t>
      </w:r>
    </w:p>
    <w:p>
      <w:r>
        <w:rPr>
          <w:b/>
        </w:rPr>
        <w:t>E. 4.2</w:t>
      </w:r>
    </w:p>
    <w:p>
      <w:r>
        <w:t>Weiter wurde der Beschwerdeführer in den beiden genannten Schreiben darüber in Kenntnis gesetzt, dass die Prüfung der elektrischen Installationen durch ein kontrollberechtigtes Unternehmen erfolgen müsse. Die Aare Energie AG legte ihrem Schreiben eine Liste mit kontrollberechtigten Firmen in der Region Olten und Balsthal bei. Das EStI verwies bezüglich der kontrollberechtigten Personen und Unternehmungen auf ein auf seiner Internetseite publiziertes Verzeichnis. Indem der Beschwerdeführer unbestritten eine nicht kontrollberechtigte Person damit beauftragte, die Kontrolle durchzuführen und den Sicherheitsnachweis zu erstellen, hat er die Folgen der nicht eingehaltenen Frist selber zu tragen. Die Vorinstanz hat ihm somit zu Recht und unter Berücksichtigung des Grundsatzes der Verhältnismässigkeit eine letzte Frist bis zum 30. November 2006 gesetzt, um den Sicherheitsnachweis zu erbringen und diese Aufforderung mit der Androhung einer Ordnungsbusse bis Fr. 5'000.- verbunden. Weil die Beschwerde aufschiebende Wirkung hat (Art. 55 Abs. 1 VwVG), gilt diese Anordnung der Vorinstanz für die Dauer des Beschwerdeverfahrens nicht. Als Folge davon ist die vom EStI angesetzte Frist von drei Monaten neu und ab Rechtskraft des vorliegenden Entscheides festzusetzen.</w:t>
      </w:r>
    </w:p>
    <w:p>
      <w:r>
        <w:rPr>
          <w:b/>
        </w:rPr>
        <w:t>E. 4.3</w:t>
      </w:r>
    </w:p>
    <w:p>
      <w:r>
        <w:t>Was schliesslich den Einwand des Beschwerdeführers angeht, er könne die ihm auferlegte Busse von Fr. 400.- nicht akzeptieren, so verkennt er, dass es dabei nicht um eine Busse, sondern um eine Gebühr für den Aufwand, der der Vorinstanz aus der Behandlung der Angelegenheit entstanden ist, geht. Diese Gebühr stützt sich auf Art. 9 Abs. 1 der Verordnung vom 7. Dezember 1992 über das Eidgenössische Starkstrominspektorat (SR 734.24) ab und deren Höhe ist unter Berücksichtigung des in dieser Sache für die Vorinstanz entstandenen Aufwandes angemessen.</w:t>
      </w:r>
    </w:p>
    <w:p>
      <w:r>
        <w:rPr>
          <w:b/>
        </w:rPr>
        <w:t>E. 5</w:t>
      </w:r>
    </w:p>
    <w:p>
      <w:r>
        <w:t>Gestützt auf vorstehende Erwägungen erweist sich die Beschwerde als unbegründet und ist abzuweisen.</w:t>
      </w:r>
    </w:p>
    <w:p>
      <w:r>
        <w:rPr>
          <w:b/>
        </w:rPr>
        <w:t>E. 6</w:t>
      </w:r>
    </w:p>
    <w:p>
      <w:r>
        <w:t>Bei diesem Ausgang des Verfahrens gilt der Beschwerdeführer als unterliegende Partei und er hat die Verfahrenskosten von Fr. 1000.- zu tragen (Art. 63 Abs. 1 VwVG). Diese sind mit dem geleisteten Kostenvorschuss in derselben Höhe zu verrechnen (Art. 5 Abs. 3 der Verordnung vom 10. September 1969 über Kosten und Entschädigungen im Verwaltungsverfahren [SR 172.041.0]).</w:t>
      </w:r>
    </w:p>
    <w:p>
      <w:r>
        <w:rPr>
          <w:b/>
        </w:rPr>
        <w:t>E. 7</w:t>
      </w:r>
    </w:p>
    <w:p>
      <w:r>
        <w:t>Dem Beschwerdeführer als unterliegende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