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A-2015/2009 vom 16. Februar 2012</w:t>
      </w:r>
    </w:p>
    <w:p>
      <w:r>
        <w:t>Bundesverwaltungsgericht, 2012-02-16, IT</w:t>
      </w:r>
    </w:p>
    <w:p>
      <w:r>
        <w:rPr>
          <w:b/>
        </w:rPr>
        <w:t xml:space="preserve">Quelle: </w:t>
      </w:r>
      <w:r>
        <w:t>https://mcp.opencaselaw.ch/entscheid/bvger_A-2015_2009</w:t>
      </w:r>
    </w:p>
    <w:p>
      <w:r>
        <w:t>FR: TAF A-2015/2009 du 16 février 2012</w:t>
      </w:r>
    </w:p>
    <w:p>
      <w:r>
        <w:t>IT: TAF A-2015/2009 del 16 febbraio 2012</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eventuali normative speciali, la procedura dinanzi al Tribunale ammini­strativo federale è retta dalla Legge federale del 20 dicembre 1968 sulla procedura amministrativa (PA, RS 172.021).</w:t>
      </w:r>
    </w:p>
    <w:p>
      <w:r>
        <w:rPr>
          <w:b/>
        </w:rPr>
        <w:t>E. 1.2</w:t>
      </w:r>
    </w:p>
    <w:p>
      <w:r>
        <w:t>Il ricorso 27 marzo 2009 è stato interposto tempestivamente (art. 20 segg., art. 50 PA), nel rispetto delle esigenze di forma e di contenuto pre­viste dalla legge (art. 52 PA). L'atto impugnato è una decisione su ricorso della DGD del 2 marzo 2009 mediante la quale è stata confermata alla ri­corrente la revoca dell'autorizzazione per il traffico di sigarette in un depo­sito franco doganale pronunciata dalla DCD. Dato è quindi anche l'inte­resse a ricorrere (art. 48 cpv. 1 PA).</w:t>
      </w:r>
    </w:p>
    <w:p>
      <w:r>
        <w:rPr>
          <w:b/>
        </w:rPr>
        <w:t>E. 1.3</w:t>
      </w:r>
    </w:p>
    <w:p>
      <w:r>
        <w:t>La ricorrente è una ditta con sede a Y._______ e succursale a Z._______. Viene citata come "A._______, Z._______", sia nella decisione 2 marzo 2009, sia nel ricorso 27 marzo 2009. Una succursale non ha la personalità giuridica che gli permetterebbe di agire come tale in giustizia. In ogni caso, in concreto appare che è stata la società anonima, e non la succursale, ad essere coinvolta nella procedura e ad agire. A questo punto si pone dunque una problematica di rappresentanza della società A._______, visto che la procura è firmata - apparentemente - da una persona che ha il diritto di agire soltanto per la succursale, cioè C._______, direttrice con firma individuale. Tuttavia, in casu si può ritene­re che i poteri di rappresentanza della succursale derivino dalle circostan­ze (cfr. decisione del Tribunale federale 4A.3/2003 del 28 novembre 2003 [parzialmente pubblicata con DTF 130 III 58] consid. 1.2, DTF 120 III 11 consid. 1a in fine; decisione del Tribunale amministrativo federale A-1521/2006 del 5 giugno 2007 consid. 2.1), di modo che la stessa risulta legittimata a ricorrere per conto della società anonima. In tali circostanze, la destinataria della presente decisione è la A._______, rappresentata dalla succursale B._______. Per quanto precede, il ricorso è ricevibile in ordine e dev'essere esamina­to nel merito.</w:t>
      </w:r>
    </w:p>
    <w:p>
      <w:r>
        <w:rPr>
          <w:b/>
        </w:rPr>
        <w:t>E. 1.4</w:t>
      </w:r>
    </w:p>
    <w:p>
      <w:r>
        <w:t>Giusta l'art. 132 cpv. 1 LD (a contrario), l'esame del merito della pre­sente fattispecie è sottoposto alla legge federale del 18 marzo 2005 sulle dogane (LD, RS 631.0) e non alla vecchia legge federale del 1° ottobre 1925 sulle dogane (vLD, RU 42 4009 e CS 6 475), ciò che la ricorrente non contesta. Infatti, si deve notare che la procedura di revocazione dell'autorizzazione è stata aperta il 19 settembre 2008, cioè dopo l'entrata in vigore della suddetta legge il 1° maggio 2007.</w:t>
      </w:r>
    </w:p>
    <w:p>
      <w:r>
        <w:rPr>
          <w:b/>
        </w:rPr>
        <w:t>E. 1.5</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 2.2.6.5, pag. 300). I principi della massima inquisi­toria e dell'applicazione d'ufficio del diritto sono tuttavia limitati. L'autorità competente procede infatti spontaneamente a constatazioni complemen­tari o esamina altri punti di diritto solo se dalle censure sollevate oppure dagli atti risultano indizi in tal senso (cfr. DTF 122 V 157 consid. 1a; DTF 121 V 204 consid. 6c; Alfred Kölz/Isabelle Häner, Verwaltungsver­fahren und Verwaltungsrechtspflege des Bundes, 2. ed., Zurigo 1998, cifra 677).</w:t>
      </w:r>
    </w:p>
    <w:p>
      <w:r>
        <w:rPr>
          <w:b/>
        </w:rPr>
        <w:t>E. 2.1</w:t>
      </w:r>
    </w:p>
    <w:p>
      <w:r>
        <w:t>Secondo l'art. 65 cpv. 1 LD, le merci che vengono immagazzinate in un deposito franco doganale devono essere dichiarate a tal fine all'ufficio doganale competente ed essere immesse nel deposito franco doganale. Secondo il cpv. 3, spetta al Consiglio federale stabilire le condizioni alle quali le merci depositate in un deposito franco doganale possono essere sottoposte a lavorazione.</w:t>
      </w:r>
    </w:p>
    <w:p>
      <w:r>
        <w:rPr>
          <w:b/>
        </w:rPr>
        <w:t>E. 2.1.1</w:t>
      </w:r>
    </w:p>
    <w:p>
      <w:r>
        <w:t>Il concetto di lavorazione non è definito nella legge. Nondimeno, esso è stato precisato dal Consiglio federale, in virtù della competenza d'esecuzione che gli spetta (cfr. Andreas Auer/Giorgio Malinverni/Mi­chel Hottelier, Droit constitutionnel suisse, vol. I, 2 ed., Berna 2006, n. 1550). Secondo la delega di competenza di cui all'art. 65 cpv. 3 LD, il Consiglio federale ha infatti fissato, nella stessa Ordinanza, le condizioni alle quali le merci depositate in un deposito franco doganale possono es­sere sottoposte a lavorazione. Giusta l'art. 180 cpv. 1 OD sono ammesse le lavorazioni, che servono al mantenimento della merce durante il suo deposito, come pure l'ispezione, l'esame, il cambio d'imballaggio, la sud­divisione, la cernita, l'eliminazione dell'imballaggio esterno e il prelievo di modelli e campioni. Giusta l'art. 180 cpv. 2 OD, in casi motivati la Direzio­ne generale delle dogane può autorizzare lavorazioni e miglioramenti più estesi ai sensi dell'art. 40 lett. b e d OD (cfr. Simeon L. Probst in: Martin Kocher/Diego Clavadetscher, Zollgesetz, Berna 2009, n. 11 ad art. 65 LD, pag. 414). Secondo l'art. 40 lett. b OD, s'intende per lavorazione il tratta­mento che non modifica la merce nelle sue caratteristiche proprie, segna-tamente anche il riempimento, l'imballaggio, il montaggio, l'assemblaggio o l'incasso. All'art. 181 cpv. 2 OD, il Consiglio federale ha altresì stabilito che l'amministrazione delle dogane può vietare la lavorazione e il miglio­ramento di merci che potrebbero pregiudicare l'imposizione doganale re­golare in Svizzera e all'estero (cfr. Probst, op. cit., n. 16 ad art. 65 LD, pag. 415). Il rapporto tra le due disposizioni non è ambivalente: appare logicamente che l'art. 181 cpv. 2 OD ha vocazione ad applicarsi a tutte le lavorazioni alle quali si riferisce l'art. 180 OD.</w:t>
      </w:r>
    </w:p>
    <w:p>
      <w:r>
        <w:rPr>
          <w:b/>
        </w:rPr>
        <w:t>E. 2.1.2</w:t>
      </w:r>
    </w:p>
    <w:p>
      <w:r>
        <w:t>Nella misura in cui il Tribunale amministrativo federale esamina le disposizioni della OD, esso deve limitarsi a verificare se dette disposizioni rimangono nel quadro della delega di competenze o, se per altre ragioni, esse appaiono contrarie alla legge o al diritto costituzionale (cfr. DTF 131 II 562 consid. 3.2, DTF 130 I 26 consid. 2.2.1, DTF 128 IV 177 con­sid. 2.1; decisione del Tribunale amministrativo federale A-559/2011 del 1° novembre 2011 consid. 3.2). A questo punto si deve rilevare che l'art. 65 cpv. 3 LD contiene una delega di competenza che va al di là delle semplici disposizioni d'esecuzione. Il Consiglio federale, disciplinando agli artt. 180 e 181 OD le condizioni alle quali le merci depositate in un depo­sito franco doganale possono essere sottoposte a lavorazione, non ha tuttavia generato nessuna disposizione contenente norme di diritto ai sen­si dell'art. 164 della Costituzione federale del 18 aprile 1999 (Cost., RS 101; cfr. Messaggio del Consiglio federale concernente una nuova legge sulle dogane del 15 dicembre 2003 in FF 2004 485 segg., 594 n. 7.2 "Delega di competenze legislative"). Il legislatore ha lasciato al Consiglio federale un largo margine di apprezzamento, che il Tribunale statuente deve rispettare giusta l'art. 190 Cost. (cfr. DTF 127 II 238 con­sid. 8a; decisione del Tribunale amministrativo federale A-559/2011 del 1° novembre 2011 consid. 3.2). L'art. 181 cpv. 2 OD non va oltre la dele­ga prevista nella legge (cfr. Auer/Malinverni/Hottelier, op. cit., n. 1554 segg.). La competenza formulata nell'art. 65 cpv. 3 LD lascia spazio a molteplici possibilità. In virtù della competenza delegata, il Consiglio fede­rale ha la facoltà di autorizzare certi tipi di lavorazioni ed anche di vietar­ne altri, dal momento che si svolgono in un deposito franco doganale. Né la legge né la Costituzione federale offrono garanzie su questo punto. Per ciò che riguarda la garanzia della libertà economica (art. 27 Cost.) - con­cretamente la libera scelta della professione, il libero accesso a un'attività economica privata e il suo libero esercizio - appare evidente che la stes­sa non è rimessa in questione dalle restrizioni previste all'art. 181 cpv. 2 OD. Infatti, non si può concepire una lesione della summenzionata garan­zia costituzionale dal momento che nulla impone la scelta del deposito franco doganale. I vantaggi economici potenzialmente legati a questa scelta non costituiscono un diritto costituzionale. In definitiva, non spetta al Tribunale amministrativo federale esaminare l'opportunità dell'art. 181 cpv. 2 OD concepito dall'Consiglio federale, il quale ne assume la respon­sabilità (cfr. DTF 130 I 26 consid. 2.2.1).</w:t>
      </w:r>
    </w:p>
    <w:p>
      <w:r>
        <w:rPr>
          <w:b/>
        </w:rPr>
        <w:t>E. 2.2</w:t>
      </w:r>
    </w:p>
    <w:p>
      <w:r>
        <w:t>Nella fattispecie, occorre esaminare se, da un lato, esiste una lavora­zione (cfr. consid. 2.2.1 che segue) e, dell'altro, se questa lavorazione è ammissibile alla luce delle disposizioni sopracitate (cfr. consid. 2.2.2 che segue).</w:t>
      </w:r>
    </w:p>
    <w:p>
      <w:r>
        <w:rPr>
          <w:b/>
        </w:rPr>
        <w:t>E. 2.2.1</w:t>
      </w:r>
    </w:p>
    <w:p>
      <w:r>
        <w:t>La DGD ritiene che la lavorazione consiste per la ricorrente nel to­gliere le sigarette dai cartoni di trasporto e, ad avvenuta ricezione dell'or­dinazione da parte dei clienti, nel condizionamento delle sigarette in im­ballaggi, cioè buste, sulle quali vengono apposti la dichiarazione dogana­le, l'etichetta recante l'indirizzo del destinatario, del mittente ed infine ter­mo sigillate (cfr. risposta 17 giugno 2009, pag. 2 punto 2; decisione impu­gnata, lett. a). Nella decisione 27 ottobre 2008, essa ha anche ritenuto che l'apposizione della dichiarazione doganale (CN 22) e dell'etichetta con l'indirizzo del destinatario su ciascun collo doveva già essere consi­derata come una lavorazione (cfr. decisione 27 ottobre 2008, pag. 2, atto n°3 dell'incarto della DGD). La ricorrente sostiene invece che le sigarette non fanno l'oggetto di alcuna lavorazione da parte sua. Secondo lei, le si­garette sono già assemblate nelle loro confezioni che non vengono in al­cun modo cambiate. Le confezioni non subiscono alcuna manomissione. Non v'è in altri termini alcuna lavorazione né tanto meno alcuna trasfor­mazione in senso giuridico, in quanto le sigarette sono già disposte nei loro involucri originali (stecche) e colà vi rimangono invariate. Le stecche vengono "semplicemente" spedite ai destinatari, per il tramite di buste, con tanto di dicitura inneggiante al contenuto della spedizione (cfr. ricor­so, pag. 7). Nonostante il parere contrario della ricorrente, risulta chiaramente che il fatto di togliere le stecche di sigarette dai cartoni di trasporto, di indivi­duarle, di condizionarle in buste e di apporre su queste una etichetta con gli indirizzi del mittente e del destinatario consiste in una lavorazione ai sensi dell'art. 65 cpv. 3 LD. L'art. 180 cpv. 1 OD prevede testualmente che il cambio d'imballaggio, la suddivisione e l'eliminazione dell'imballag­gio esterno è considerato una lavorazione. Certo, la merce - cioè le siga­rette, o le stecche di sigarette - non è modificata nelle sue caratteristiche proprie. In questo senso, rimane invariata, come addotto dalla ricorrente. Tuttavia, non è indispensabile che sia modificata in tal modo per poter concludere all'esistenza di una lavorazione (cfr. consid. 2.1.1 che prece­de). In definitiva, poiché nel caso concreto non si tratta unicamente dell'apposizione di un'etichetta, ma anche del disimballaggio e dell'imbal­laggio della merce in nuove buste, non è necessario esaminare se si po­trebbe parlare di lavorazione, anche nel caso in cui si trattasse soltanto dell'apposizione di una etichetta sui colli. Secondo la DGD, anche in que­sto caso ci sarebbe una lavorazione, visto che questa operazione appare relativa a - o in altri termini ha un legame diretto - con l'imballaggio della merce ai sensi dell'art. 40 OD. In ogni caso, nella presente fattispecie, come visto, questa questione non è determinante.</w:t>
      </w:r>
    </w:p>
    <w:p>
      <w:r>
        <w:rPr>
          <w:b/>
        </w:rPr>
        <w:t>E. 2.2.2</w:t>
      </w:r>
    </w:p>
    <w:p>
      <w:r>
        <w:t>Essendo stabilito che le sigarette fanno l'oggetto di una lavorazione ai sensi della LD, occorre determinare se questa lavorazione è ammissi­bile. A questo punto, la DGD ritiene che la lavorazione debba essere vietata in applicazione dell'art. 181 cpv. 2 OD, in quanto essa pregiudi­cherebbe l'imposizione doganale regolare all'estero. Infatti, secondo lei, le sigarette sono confezionate in buste che non permettono di fare un lega­me diretto con la merce contenuta. A questo si aggiunge la scelta della modalità d'inoltro (posta-lettere). Essa ritiene altresì che, visto il crescente flusso di invii postali, questi due fattori utilizzati contemporaneamente ren­derebbero praticamente impossibile alle amministrazioni doganali il con­trollo di questi invii (cfr. risposta 17 giugno 2009, pag. 3). A suo avviso, la ricorrente sarebbe perfettamente a conoscenza della quasi impossibilità delle amministrazioni doganali a far fronte al crescente flusso di invii po­stali. Sarebbe accertato che il commercio relativo alla vendita di sigarette via internet risulta interessante per il consumatore - e dunque per il com­merciante - soltanto se le sigarette non vengono sottoposte a imposizio­ne nel paese di destinazione. D'altronde, secondo la DGD, le condizioni generali di vendita della ricorrente offrirebbero all'acquirente la possibilità di rifiutare l'ordinazione qualora "per disgrazia" le dogane estere avessero scoperto la natura delle merci e richiesto il pagamento dei tributi d'entrata (cfr. decisione impugnata, consid. 8). Secondo la ricorrente invece, le autorità del paese di destinazione sareb­bero chiaramente allertate sul contenuto dei colli, visto che - sull'etichetta di esportazione - appare chiaramente il tipo di prodotto, il peso, la tariffa doganale. Nessuna manipolazione sarebbe effettuata per mascherare il contenuto. A suo avviso, spetterebbe alle autorità straniere applicare eventuali tariffe o dazi in base alla documentazione ricevuta (cfr. ricorso, pag. 4). L'argomentazione della ricorrente non è dunque quella di dire che l'impo­sizione doganale all'estero non è pregiudicata, ma soprattutto che spetta alle autorità straniere essere più diligenti. La ricorrente non afferma, e nul­la agli atti lo dimostra, che i tributi d'entrata nel paese di destinazione ven­gano pagati. Del resto, essa non contesta neppure che la sua argomenta­zione di vendita delle sigarette si basa precisamente sull'assenza dei tri­buti d'entrata, come risulta dalla decisione impugnata. Il Tribunale sta­tuente considera che le buste nelle quali le sigarette sono confezionate hanno un aspetto (buste) ed una dimensione (adattata ad una sola stecca di sigarette; cfr. allegato n. 1 alla lettera del 2 settembre 2008) che per­mette di evitare i controlli doganali. È ovvio che il controllo sistematico da parte delle autorità doganali di questo tipo di spedizione è impossibile, vi­sto il loro quantitativo. La ricorrente del resto conferma in un certo modo quest'impossibilità, poiché afferma di non essere stata oggetto di reclami da parte di clienti, a motivo di pagamento delle tasse d'entrate, o di Stati stranieri (cfr. ricorso, pag. 9). Il fatto che la ricorrente faccia apparire il tipo di prodotto (sigarette) sull'etichetta di esportazione dei colli (cfr. ricorso, pag. 4), cioè sulla dichiarazione doganale svizzera CN 22, si rivolge alle autorità doganali svizzere. Detta etichetta, non è concepita per permette­re l'imposizione doganale straniera. Nelle circostanze del caso concreto, risulta dunque che le lavorazioni che la ricorrente effettua possono pre­giudicare l'imposizione doganale regolare all'estero, ciò che giustifica il di­vieto di queste lavorazioni, giusta l'art. 181 cpv. 2 OD. Una certezza in merito a detto pregiudizio non è necessaria in quanto questa disposizione trova in ogni caso applicazione, vista la formulazione potestativa utilizzata dal Consiglio federale ("potrebbero pregiudicare l'imposizione doganale"). Di conseguenza, l'autorità inferiore ha correttamente revocato l'autorizza­zione concessa alla ricorrente nel 2006, a procedere alla lavorazione di sigarette a partire dal Deposito Franco Doganale di W._______.</w:t>
      </w:r>
    </w:p>
    <w:p>
      <w:r>
        <w:rPr>
          <w:b/>
        </w:rPr>
        <w:t>E. 2.2.3.1</w:t>
      </w:r>
    </w:p>
    <w:p>
      <w:r>
        <w:t>Certo, la ricorrente spiega che il suo mercato di riferimento è D.________, ma non riesce a convincere quando afferma - senza prova alcuna - che questa nazione esegue controlli efficaci e ha gli strumenti legali e materiali necessari per il blocco di tutte le merci che eccedono i limiti concessi dalle leggi in materia (cfr. lettera della ricorrente del 18 novembre 2008, atto n° 4 dell'incarto della DGD). Il fatto, sottolineato dalla ricorrente, che il suo volume di spedizione non può essere rilevante per una nazione come D._______ (cfr. lettera summenzionata, pag. 3), non permette di pervenire ad un'altra conclusione. Infatti, le dimensioni del traffico, come pure l'importanza dello stesso per D._______, non hanno alcuna influenza sul ragionamento dello scrivente Tribunale, questi elementi essendo estranei alle disposizioni legali pertinenti.</w:t>
      </w:r>
    </w:p>
    <w:p>
      <w:r>
        <w:rPr>
          <w:b/>
        </w:rPr>
        <w:t>E. 2.2.3.2</w:t>
      </w:r>
    </w:p>
    <w:p>
      <w:r>
        <w:t>La legge postale svizzera o internazionale, o le altre leggi vigenti in Svizzera, che la ricorrente afferma di rispettare - non sono comunque rilevanti (cfr. lettera summenzionata, pag. 4). Per quanto concerne le leg­gi vigenti nei paesi di destinazione della merce (per lo più D._______), niente dimostra, come già detto, che la ricorrente le rispetta (cfr. ricorso, pag. 5). La creazione di posti di lavoro o la situazione vigente in altri paesi (cfr. lettera summenzionata, pag. 4) non possono influire sulla conclusio­ne, queste condizioni non essendo di alcun aiuto alla ricorrente per il rila­scio dell'autorizzazione richiesta secondo la legge pertinente. In definitiva, il fascicolo processuale risulta sufficientemente chiaro ed esaustivo. Alle generiche richieste della ricorrente di procedere all'audizione di testi - ov­verosia dei funzionari delle dogane, del direttore del Punto Franco di W._______ e di un funzionario della Posta di W._______ (cfr. ricorso, pag. 5 "prove") - non è stato quindi dato seguito (cfr. DTF 123 II 248 consid. 2a; DTF 122 II 274 consid. 1d). A questo si aggiunge che, dinanzi allo scrivente Tribunale, il diritto di essere sentito è rispettato, nella misura in cui la ricorrente ha avuto la facoltà d'esprimersi per iscritto (cfr. Archivi di diritto fiscale svizzero [ASA] vol. 66 pag. 70 seg.; decisioni del Tribuna­le federale 2A.245/2001 del 22 ottobre 2001 consid. 2 e 2A.327/1999 del 9 maggio 2000 consid. 4b; decisioni del Tribunale amministrativo federale A-6120/2008 del 18 maggio 2010 consid. 8.2 e A-1360/2006 del 1° marzo 2007 consid. 3.2.2). Alla ricorrente non è dunque concesso di esigere il proprio interrogatorio, visto ch'essa ha avuto la facoltà d'esprimersi, espo­nendo pienamente i propri argomenti per iscritto, ciò che ha fatto ancora, spontaneamente, nella sua replica 23 giugno 2009, nonché che la proce­dura dinanzi al Tribunale statuente è normalmente scritta (cfr. André Moser/Michael Beusch/Lorenz Kneubühler, Prozessieren vor dem Bundesverwaltungsgericht, Basilea 2008, n. m. 3.86).</w:t>
      </w:r>
    </w:p>
    <w:p>
      <w:r>
        <w:rPr>
          <w:b/>
        </w:rPr>
        <w:t>E. 2.2.3.3</w:t>
      </w:r>
    </w:p>
    <w:p>
      <w:r>
        <w:t>Infine, la ricorrente si richiama al principio della proporzionalità che dovrebbe secondo lei - nel caso della revoca di un atto amministrati­vo come la suddetta autorizzazione - condurre a far prevalere il suo inte­resse privato, rispettivamente l'interesse alla sicurezza giuridica, sull'inte­resse pubblico, rispettivamente l'interesse all'attuazione del principio della legalità (cfr. ricorso, pag. 10 seg.). Il principio della proporzionalità - ancorato all'art. 5 cpv. 2 Cost. - è rispet­tato quando la misura ordinata è idonea a realizzare lo scopo d'interesse pubblico previsto dalla legge; quando è necessaria per giungere allo sco­po perseguito; infine, quando tra le varie misure possibili al raggiungimen­to di detto scopo, essa risulta essere quella che tutela al meglio gli inte­ressi di terzi (cfr. Ulrich Häfelin/Georg Müller/Felix Uhlmann, Allge­meines Verwaltungsrecht, 6. ed., Zurigo/San Gallo 2010, n. 581, con rife­rimenti alla giurisprudenza del Tribunale federale). Il principio della pro­porzionalità di cui all''art. 5 cpv. 2 Cost. esige che vi sia un rapporto ragio­nevole tra lo scopo d'interesse pubblico perseguito ed il mezzo usato per raggiungerlo. Detto principio viene suddiviso in tre regole, ossia la regola dell'idoneità, quella della necessità e quella della proporzionalità in senso stretto (cfr. DTF 135 I 233 consid. 3.1; DTF 130 II 425 consid. 5.2; DTF 124 I 40 consid. 3e). Secondo la regola dell'idoneità, la misura deve esse­re atta a realizzare lo scopo d'interesse pubblico perseguito (cfr. DTF 128 I 295 consid. 5b/cc). La regola della necessità impone invece che la misu­ra sia necessaria a raggiungere lo scopo d'interesse pubblico perseguito; in questo caso, l'autorità dovrà imporre la misura che meglio tiene conto dei contrapposti interessi (cfr. DTF 130 II 425, consid. 5.2). Infine, la pro­porzionalità in senso stretto impone che la misura amministrativa sia in un rapporto ragionevole con il sacrificio imposto all'amministrato. Si deve quindi procedere alla ponderazione degli interessi che qui concretamente si oppongono. Certo, in casu, si potrebbe sostenere che l'art. 181 cpv. 2 OD lascia una certa libertà di valutazione all'Amministrazione delle dogane, nel senso che essa può vietare la lavorazione, e non è costretta a farlo, se questa lavorazione potrebbe pregiudicare l'imposizione doganale regolare all'estero. Tuttavia, quest'interpretazione non si impone evidentemente, poiché l'autorità doganale deve rispettare il principio della parità di tratta­mento e nulla segnala ch'essa applichi una pratica permissiva nei con­fronti di altre persone che si trovano nella medesima situazione di quella della ricorrente. Al contrario, lo scrivente Tribunale è a conoscenza di almeno un caso - che gli è stato deferito - dove l'Amministrazione delle dogane è anche intervenuta nel senso di un divieto. In ogni caso, alla lu­ce degli elementi che caratterizzano il principio della proporzionalità, risul­ta che suddetto principio non potrebbe comunque giustificare nel caso concreto un'eventuale tolleranza da parte dell'autorità inferiore. Appare chiaro che le regole dell'idoneità e della necessità sono adempiute, ciò che la ricorrente non contesta. Nella misura in cui si tratta della proporzio­nalità in senso stretto, si deve notare che l'interesse privato della ricorren­te, ch'essa definisce - senza tuttavia quantificarlo - in termini di energie e denari investiti in virtù dell'autorizzazione rilasciata nel 2003, non prevale sull'interesse pubblico perseguito dall'art. 181 cpv. 2 OD e sulla parità di trattamento che comanda di non fare beneficiare la ricorrente di un tratta­mento di favore. Inoltre, la ricorrente perde di vista che ha beneficiato di un'estensione dell'autorizzazione concessa nel 2003, nonostante l'illegali­tà della situazione così tollerata, durante due anni, cioè fino al 30 aprile 2009. L'art. 132 cpv. 2 LD, a titolo di disposizione transitoria, prevede che le autorizzazioni e gli accordi esistenti al momento dell'entrata in vigore della LD rimangono validi per un periodo massimo di due anni. La ricor­rente ha di conseguenza beneficiato della durata massima prevista da questa disposizione, tenuto conto dell'entrata in vigore del nuovo diritto doganale il 1° maggio 2007, e non può dunque sostenere, a questo pro­posito, che il principio della proporzionalità sia stato violato.</w:t>
      </w:r>
    </w:p>
    <w:p>
      <w:r>
        <w:rPr>
          <w:b/>
        </w:rPr>
        <w:t>E. 2.2.3.4</w:t>
      </w:r>
    </w:p>
    <w:p>
      <w:r>
        <w:t>Riassumendo, le censure della ricorrente si sono rivelate inconsi­stenti. Ne discende che il ricorso deve essere respinto con conseguente conferma della decisione impugnata.</w:t>
      </w:r>
    </w:p>
    <w:p>
      <w:r>
        <w:rPr>
          <w:b/>
        </w:rPr>
        <w:t>E. 3</w:t>
      </w:r>
    </w:p>
    <w:p>
      <w:r>
        <w:t>In considerazione dell'esito della lite, giusta l'art. 63 PA, le spese proces­suali vanno poste a carico della ricorrente soccombente (art. 1 segg. del Regolamento del 21 febbraio 2008 sulle tasse e sulle spese ripetibili nelle cause dinanzi al Tribunale amministrativo federale [TS-TAF; RS 173.320.2]). Nella presente fattispecie, esse vengono stabilite in fr. 2'000.-- (art. 4 TS-TAF), importo che verrà integralmente compensato con l'anticipo da lei versato pari a fr. 2'000.--. Alla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