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A-2013/2011 vom 31. Mai 2011</w:t>
      </w:r>
    </w:p>
    <w:p>
      <w:r>
        <w:t>Bundesverwaltungsgericht, 2011-05-31, FR</w:t>
      </w:r>
    </w:p>
    <w:p>
      <w:r>
        <w:rPr>
          <w:b/>
        </w:rPr>
        <w:t xml:space="preserve">Quelle: </w:t>
      </w:r>
      <w:r>
        <w:t>https://mcp.opencaselaw.ch/entscheid/bvger_A-2013_2011</w:t>
      </w:r>
    </w:p>
    <w:p>
      <w:r>
        <w:t>FR: TAF A-2013/2011 du 31 mai 2011</w:t>
      </w:r>
    </w:p>
    <w:p>
      <w:r>
        <w:t>IT: TAF A-2013/2011 del 31 maggio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w:t>
      </w:r>
    </w:p>
    <w:p>
      <w:r>
        <w:rPr>
          <w:b/>
        </w:rPr>
        <w:t>E. 1.2.1</w:t>
      </w:r>
    </w:p>
    <w:p>
      <w:r>
        <w:t>Une suspension de la procédure doit être justifiée par des motifs suffisants (cf. arrêt du Tribunal administratif fédéral A-7509/2006 du 2 juillet 2007 consid. 5.1 et les références citées; ANDRÉ MOSER/MICHAEL BEUSCH/LORENZ KNEUBÜHLER, Prozessieren vor dem Bundesverwaltungsgericht, Bâle 2008, no 3.14 ss). Elle peut être envisagée lorsqu'il ne se justifie pas, sous l'angle de l'économie de la procédure, de prendre une décision dans l'immédiat, notamment lorsque le jugement prononcé dans un autre litige peut influencer l'issue du procès (cf. art. 6 de la loi fédérale de procédure civile fédérale du 4 décembre 1947 [PCF, RS 273]; ATF 123 II 1 consid. 2b, 122 II 211 consid. 3e; arrêt du Tribunal administratif fédéral A-4379/2007 du 29 août 2007 consid. 4.2). La suspension est également admise, lorsqu'elle paraît opportune pour d'autres raisons importantes. Elle ne doit toutefois pas s'opposer à des intérêts publics et privés prépondérants (cf. arrêts du Tribunal administratif fédéral B-5168/2007 du 18 octobre 2007 consid. 2.2.1 et les références citées, A-7509/2006 du 2 juillet 2007 consid. 5.1 et les références citées). Elle doit même rester l'exception (cf. ATF 130 V 90 consid. 5, 119 II 389 consid. 1b et les références citées; arrêt du Tribunal fédéral 8C_982/2009 du 5 juillet 2010 consid. 2.2; arrêt du Tribunal administratif fédéral B-5482/2009 du 19 avril 2011 consid. 2.2). En particulier, le principe de célérité qui découle de l'art. 29 Cst.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(cf. ATF 119 II 386 consid. 1b; arrêt du Tribunal fédéral 1P.99/2002 du 25 mars 2002 consid. 4.1; arrêt du Tribunal administratif fédéral B-8243/2007 du 20 mai 2008 consid. 3). Il appartient à l'autorité saisie de mettre en balance, d'une part, la nécessité de statuer dans un délai raisonnable et, d'autre part, le risque de décisions contradictoires. Le caractère raisonnable du délai s'apprécie au regard de la nature de l'affaire et l'ensemble des circonstances (cf. arrêt du Tribunal fédéral 1P.99/2002 du 25 mars 2002 consid. 4.1 et les références citées; ATAF 2009/42 consid. 2.2 et les références citées).</w:t>
      </w:r>
    </w:p>
    <w:p>
      <w:r>
        <w:rPr>
          <w:b/>
        </w:rPr>
        <w:t>E. 1.2.2</w:t>
      </w:r>
    </w:p>
    <w:p>
      <w:r>
        <w:t>En l'espèce, la recourante motive sa demande de suspension par le fait que suite à un recours interjeté auprès de la Cour européenne des droits de l'homme contre un arrêt rendu par le Tribunal administratif fédéral en matière d'entraide administrative, ladite Cour devra probablement se prononcer sur la conformité de la Convention 10 avec les engagements conventionnels de la Suisse. A cet égard, il y a lieu de relever que la procédure devant la Cour européenne des droits de l'homme sera longue et que sa décision n'interviendra selon toute vraisemblance que dans plusieurs mois, voire dans plusieurs années. Or, les faits pertinents à la base de la présente affaire, c'est-à-dire en particulier la question de savoir s'il existe de sérieuses raisons de penser que la recourante a commis des « fraudes ou délits semblables », sont survenus durant une période située entre 1999 et 2010, de sorte que plus de 12 ans se sont déjà écoulés depuis la date la plus éloignée des faits déterminants. Dans ces circonstances, la nécessité de statuer dans un délai raisonnable apparaît comme essentielle. Il en va d'ailleurs de l'intérêt de toutes les parties concernées par la demande d'entraide administrative des Etats-Unis que les affaires UBS soient traitées rapidement. Notons encore que le Tribunal administratif fédéral a déjà eu l'occasion d'affirmer que les importants intérêts économiques de la Suisse ainsi que l'intérêt à pouvoir respecter les engagements internationaux pris à l'égard des Etats-Unis prévalaient sur l'intérêt individuel des personnes concernées par l'entraide administrative à tenir, en particulier, secrète leur situation patrimoniale (cf. arrêt du Tribunal administratif fédéral A-4013/2010 du 15 juillet 2010 consid. 4.5 et 6 et les références citées; cf. également arrêts du Tribunal administratif fédéral A-6302/2010 du 28 mars 2011 consid. 6.2.2 et les références citées, A-8462/2010 du 2 mars 2011 consid. 4.1.2). En outre, si l'argumentation de la recourante était suivie c'est non seulement la présente procédure qui devrait être suspendue pendant plusieurs mois, mais toutes les procédures encore pendantes relatives à la demande d'entraide administrative de l'IRS. Or, une telle suspension serait contraire au principe de célérité ainsi qu'aux engagements internationaux de la Suisse. Enfin, on relèvera que rien n'empêche la recourante, ainsi que toute personne concernée qui le souhaiterait, de s'adresser à la Cour européenne des droits de l'homme.</w:t>
      </w:r>
    </w:p>
    <w:p>
      <w:r>
        <w:rPr>
          <w:b/>
        </w:rPr>
        <w:t>E. 1.2.3</w:t>
      </w:r>
    </w:p>
    <w:p>
      <w:r>
        <w:t>Par conséquent et au vu de ce qui précède, la conclusion de la recourante - tendant à ce que le Tribunal administratif fédéral sursoie à statuer dans le cas d'espèce « jusqu'à ce que la Cour européenne des droits de l'homme se soit prononcée sur la conformité de l'Accord [recte : la Convention 10] avec les engagements conventionnels internationaux devant être respectés par la Suisse » - est rejetée.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A-7699/2010 du 28 avril 2011 consid. 2.1 et les références citées, A-7027/2010 du 28 avril 2011 consid. 2.1 et les références citées, A-7020/2010 du 27 avril 2011 consid. 2.1 et les références citées, A-4013/2010 du 15 juillet 2010 consid. 1.2).</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A-7663/2010 et A-7699/2010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A-7663/2010 et A-7699/2010 du 28 avril 2011 consid. 2.4 et les références citées, A-8330/2010 du 8 avril 2011 consid. 2.4 et les références citées, A-7025/2010 du 4 avril 2011 consid. 2.4, A-4013/2010 du 15 juillet 2010 consid. 2.2 et les références citées). A cette fin, la personne concernée par l'entraide administrative doit, immédiatement et sans réserve, apporter la preuve par titre que c'est à tort qu'elle a été incluse dans la procédure. Le Tribunal administratif fédéral n'ordonne aucune mesure d'instruction à cet égard (cf. arrêts du Tribunal administratif fédéral A-7027/2010 du 28 avril 2011 consid. 2.4 et les références citées, A-7020/2010 du 27 avril 2011 consid. 2.4 et les références citées, A-6676/2010 du 8 avril 2011 consid. 3.2).</w:t>
      </w:r>
    </w:p>
    <w:p>
      <w:r>
        <w:rPr>
          <w:b/>
        </w:rPr>
        <w:t>E. 3</w:t>
      </w:r>
    </w:p>
    <w:p>
      <w:r>
        <w:t>La recourante conteste la validité et l'applicabilité de la Convention 10, motifs pris que celle-ci ne constituerait pas un base légale suffisante pour accorder l'entraide, qu'elle violerait le droit au respect de la vie privée (art. 8 CEDH), ainsi que le principe de la non-rétroactivité des lois.</w:t>
      </w:r>
    </w:p>
    <w:p>
      <w:r>
        <w:rPr>
          <w:b/>
        </w:rPr>
        <w:t>E. 3.1.1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A-6302/2010 du 28 mars 2011 consid. 6.2.1 et les références citées, A-8462/2010 du 2 mars 2011 consid. 4.1.1, A-7014/2010 du 3 février 2011 consid. 4.1.1 et les références citées).</w:t>
      </w:r>
    </w:p>
    <w:p>
      <w:r>
        <w:rPr>
          <w:b/>
        </w:rPr>
        <w:t>E. 3.1.2</w:t>
      </w:r>
    </w:p>
    <w:p>
      <w:r>
        <w:t>Concernant plus précisément la relation entre les différentes conventions (la Convention 10, la CDI-US 96 [en particulier son art. 26], la CEDH [en particulier son art. 8] et le Pacte international relatif aux droits civils et politiques du 16 décembre 1966 [Pacte ONU II, RS 0.103.2,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A-6302/2010 du 28 mars 2011 consid. 6.2.2 et les références citées, A-8462/2010 du 2 mars 2011 consid. 4.1.2).</w:t>
      </w:r>
    </w:p>
    <w:p>
      <w:r>
        <w:rPr>
          <w:b/>
        </w:rPr>
        <w:t>E. 3.1.3</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 du Tribunal administratif fédéral A-4013/2010 du 15 juillet 2010 consid. 6.5.2; cf. également arrêts du Tribunal administratif fédéral A-6302/2010 du 28 mars 2011 consid. 6.2.3, A-6903/2010 du 23 mars 2011 consid. 3.2, A-8462/2010 du 2 mars 2011 consid. 4.1.5 et les références citées; pour une critique de cette jurisprudence, cf. Felix Uhlmann/Ralph Trümpler, « Das Rückwirkungsverbot ist im Bereich der Amtshilfe nicht von Bedeutung » - Überlegungen zum Urteil des Bundesverwaltungsgerichts vom 15 Juli 2010 betreffend den UBS-Staatsvertrag, in : Revue de droit suisse [RDS] 130 [2011] p. 139 ss, qui ne discutent toutefois pas la possibilité prévue par la CV d'instaurer un « effet rétroactif »).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A-6302/2010 du 28 mars 2011 consid. 6.2.3, A-6903/2010 du 23 mars 2011 consid. 3.2 et les références citées, A-8462/2010 du 2 mars 2011 consid. 4.1.5, A-7014/2010 du 3 février 2011 consid. 4.1.5).</w:t>
      </w:r>
    </w:p>
    <w:p>
      <w:r>
        <w:rPr>
          <w:b/>
        </w:rPr>
        <w:t>E. 3.1.4</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A-6302/2010 du 28 mars 2011 consid. 6.2.4, A-6903/2010 du 23 mars 2011 consid. 3.3, A-8462/2010 du 2 mars 2011 consid. 4.1.6 et les références citées).</w:t>
      </w:r>
    </w:p>
    <w:p>
      <w:r>
        <w:rPr>
          <w:b/>
        </w:rPr>
        <w:t>E. 3.1.5</w:t>
      </w:r>
    </w:p>
    <w:p>
      <w:r>
        <w:t>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3.2</w:t>
      </w:r>
    </w:p>
    <w:p>
      <w:r>
        <w:t>En l'espèce, il y a lieu de constater, à la lumière des arrêts susdits, que les objections suivantes relatives à la validité et à l'applicabilité de la Convention 10 peuvent sans autre être écartées : violation du droit au respect de la sphère privée, ainsi que violation du principe de l'interdiction de la rétroactivité des lois. De plus, la Convention 10 est en l'occurrence une base légale suffisante pour accorder l'entraide. Toutes les dispositions de droit interne citées par la recourante doivent ainsi céder le pas à la Convention 10. Notons encore que même si la Suisse ne pouvait - dans le cas précis - obtenir les mêmes informations selon son propre droit, elle reste liée par ses engagements internationaux et doit accorder l'entraide lorsque les conditions sont remplies (cf. notamment arrêts du Tribunal administratif fédéral A-7012/2010 du 21 mars 2011 consid. 4.1, A-7013/2010 du 18 mars 2011 consid. 4.1 et A-8462/2010 du 2 mars 2011 consid. 4.1.7).</w:t>
      </w:r>
    </w:p>
    <w:p>
      <w:r>
        <w:rPr>
          <w:b/>
        </w:rPr>
        <w:t>E. 4</w:t>
      </w:r>
    </w:p>
    <w:p>
      <w:r>
        <w:t>La recourante soutient en outre que dans la mesure où la décision entreprise n'aurait pas été rendue dans le délai de 360 jours prescrit par l'art. 1 al. 2 de la Convention 10, celle-ci ne reposerait sur aucune base légale. Elle prétend que le délai de 360 jours serait impératif et que des décisions d'entraide administrative ne pourraient être rendues ultérieurement à ce délai.</w:t>
      </w:r>
    </w:p>
    <w:p>
      <w:r>
        <w:rPr>
          <w:b/>
        </w:rPr>
        <w:t>E. 4.1</w:t>
      </w:r>
    </w:p>
    <w:p>
      <w:r>
        <w:t>Dans son arrêt A-7663/2010 et A-7699/2010 du 28 avril 2011, le Tribunal administratif fédéral a rappelé que - compte tenu des engagements pris par la Suisse - l'AFC avait dû mettre en place une unité opérationnelle spéciale pour traiter la demande d'entraide administrative présentée sur la base des critères arrêtés dans l'annexe à la Convention 10 pour les cas de fraudes et délits semblables (« tax fraud or the like ») dans l'affaire UBS SA. Cette manière de s'organiser devait permettre à l'AFC de rendre pour chaque cas une décision finale portant sur la transmission des informations bancaires demandées, dans un délai de 90 jours après réception de la demande pour les 500 premiers cas et de 360 jours pour tous les autres cas. Le Tribunal de céans a considéré que l'art. 1 al. 2 de la Convention 10 concrétisait ainsi l'une des principales obligations de la Suisse, en fixant en particulier les différentes étapes du traitement des dossiers concernés. En d'autres termes, cette disposition visait uniquement à consacrer l'une des obligations de la Suisse, à savoir celle de rendre par le biais de l'AFC une décision finale relative à l'octroi de l'entraide administrative pour chaque dossier édité par UBS SA et ce dans un certain délai. Le Tribunal administratif fédéral a ainsi retenu que les délais fixés par l'art. 1 al. 2 de la Convention 10, y compris le délai de 360 jours suivant la réception de la demande du 31 août 2009 de l'IRS, permettaient simplement de mieux planifier le traitement des cas concernés et de contrôler le déroulement de la procédure. Différentes mesures étaient par ailleurs prévues pour faire face à l'éventualité où, après vérification de l'avancement de la procédure, il serait apparu que les résultats, notamment le nombre de décisions finales rendues par l'AFC, se seraient écartés de manière importante de ce qui pouvait raisonnablement être escompté au vu du but de la Convention 10 (cf. arrêt du Tribunal administratif fédéral A-7663/2010 et A-7699/2010 du 28 avril 2011 consid. 4.3, spéc. consid. 4.3.3 et les références citées). En conclusion, le Tribunal de céans a admis - dans son arrêt A-7663/2010 et A-7699/2010 du 28 avril 2011 - que des décisions finales portant sur la transmission des informations bancaires sollicitées par l'IRS pouvaient être rendues postérieurement au délai de 360 jours suivant la réception de la requête de ladite autorité fiscale américaine. A cet égard, il a rappelé que l'art. 10 de la Convention 10 stipulait que ledit traité restait en vigueur jusqu'à ce que les parties eussent confirmé par écrit qu'elles s'étaient acquittées des obligations qui en découlaient. Or, les parties n'avaient pas encore confirmé par écrit que la Convention 10 aurait été complètement exécutée (cf. arrêt du Tribunal administratif fédéral A-6258/2010 du 14 février 2011 consid. 8.1). Dans ces conditions, le Tribunal administratif fédéral a admis que ledit accord était toujours en vigueur et, partant, applicable (cf. arrêt du Tribunal administratif fédéral A-7663/2010 et A-7699/2010 du 28 avril 2011 consid. 4.2.1 et 4.3.3 et les références citées). En d'autres termes, il a retenu que les seules conséquences attachées au délai de 360 jours suivant la demande du 31 août 2009 de l'IRS, ainsi qu'au délai de 370 jours après la signature de la Convention 10 le 19 août 2009, étaient d'éventuelles mesures pouvant être prises par les Etats-Unis à l'égard de la Suisse (cf. arrêt du Tribunal administratif fédéral A-7663/2010 et A-7699/2010 du 28 avril 2011 consid. 4.3.3 et les références citées).</w:t>
      </w:r>
    </w:p>
    <w:p>
      <w:r>
        <w:rPr>
          <w:b/>
        </w:rPr>
        <w:t>E. 4.2</w:t>
      </w:r>
    </w:p>
    <w:p>
      <w:r>
        <w:t>L'argumentation de la recourante ne mettant nullement en cause la jurisprudence établie dans l'arrêt A-7663/2010 et A-7699/2010 précité, il convient de la confirmer. A la lumière de ce jugement, il y a lieu d'admettre que la décision entreprise repose sur une base légale, à savoir la Convention 10, laquelle est toujours en vigueur et, partant, applicable. Notons encore que l'AFC est tenue de traiter l'intégralité des dossiers édités par UBS SA et ne peut se limiter au traitement de 4'450 comptes ouverts ou clos, ce chiffre n'étant qu'une estimation (cf. arrêt du Tribunal administratif fédéral A-6258/2010 du 14 février 2011 consid. 8.1; cf. également arrêts A-7663/2010 et A-7699/2010 du 28 avril 2011 consid. 4.2.1 et 4.2.2 et les références citées, A-6302/2010 du 28 mars 2011 consid. 6.3.1 et A-6678/2010 du 23 mars 2011 consid. 4.3). Le grief de la recourante tendant à l'illégalité de la décision querellée est dès lors mal fondé.</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2/A/b, sont les suivants : - les clients d'UBS SA, - domiciliés aux Etats-Unis, - qui étaient titulaires directs et ayants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5.2.1</w:t>
      </w:r>
    </w:p>
    <w:p>
      <w:r>
        <w:t>Durant la période en cause, la recourante, qui - de part son domicile aux Etats-Unis (cf. pièces no ***_4_00011 et _00020 s. du dossier de l'AFC) - est une « US person » au sens de l'annexe à la Convention 10, était cocontractante d'UBS SA pour la relation bancaire ***, ainsi que titulaire directe et ayant droit économique dudit compte UBS (cf. pièce no ***_4_00024 du dossier de l'AFC). Plus précisément, en réponse à la phrase « The contracting partner hereby declares : », c'est la rubrique « that the contracting partner is the sole beneficial owner of the assets concerned » qui a été cochée par la recourante et non pas la rubrique « that the beneficial owner/s of the assets concerned is/are : Last name / Firts name (or firm) ; Address / Domicile, Country » (cf. pièce no ***_4_00024 du dossier de l'AFC). Aucun document édité par UBS SA n'indique qu'un formulaire W-9 ait été remis pendant la période considérée. De plus - contrairement à ce que semble prétendre la recourante, qui soutient qu'en octobre 2002 CHF 977'747 étaient déposés sur le compte UBS *** - le montant total des avoirs sur la relation bancaire incriminée, avec valeur au 31 décembre 2004, a dépassé la somme déterminante de CHF 1'000'000.-- (cf. pièce no ***_6_00006 du dossier de l'AFC). Des gains en capitaux d'au moins CHF 326'325.-- ont été réalisés durant les seules années 2004 et 2005 (cf. pièce no ***_6_00059 à _00068, _00081, _00083 et _00085 du dossier de l'AFC).</w:t>
      </w:r>
    </w:p>
    <w:p>
      <w:r>
        <w:rPr>
          <w:b/>
        </w:rPr>
        <w:t>E. 5.2.2</w:t>
      </w:r>
    </w:p>
    <w:p>
      <w:r>
        <w:t>L'ensemble des éléments précités n'est pas contesté par la recourante. Au contraire, celle-ci reconnaît expressément, dans son mémoire de recours du 1er avril 2011, être la titulaire et l'ayant droit économique du compte bancaire UBS ***. Elle admet également que la relation bancaire litigieuse a été ouverte en 1996 dans les livres d'UBS SA et qu'elle a été clôturée en 2006. Par conséquent et au vu de ce qui précède, il y a lieu de constater que tous les critères de la catégorie 2/A/b sont remplis en ce qui concerne la recourant et le compte UBS ***. C'est ainsi à juste titre que l'AFC a décidé d'accorder l'entraide administrative sollicitée s'agissant de la recourante et de la relation bancaire susdite.</w:t>
      </w:r>
    </w:p>
    <w:p>
      <w:r>
        <w:rPr>
          <w:b/>
        </w:rPr>
        <w:t>E. 6</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