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A-1989/2011 vom 4. Januar 2012</w:t>
      </w:r>
    </w:p>
    <w:p>
      <w:r>
        <w:t>Bundesverwaltungsgericht, 2012-01-04, DE</w:t>
      </w:r>
    </w:p>
    <w:p>
      <w:r>
        <w:rPr>
          <w:b/>
        </w:rPr>
        <w:t xml:space="preserve">Quelle: </w:t>
      </w:r>
      <w:r>
        <w:t>https://mcp.opencaselaw.ch/entscheid/bvger_A-1989_2011</w:t>
      </w:r>
    </w:p>
    <w:p>
      <w:r>
        <w:t>FR: TAF A-1989/2011 du 4 janvier 2012</w:t>
      </w:r>
    </w:p>
    <w:p>
      <w:r>
        <w:t>IT: TAF A-1989/2011 del 4 gennaio 2012</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Die ESTV ist zudem als Behörde im Sinn von Art. 33 VGG zu qualifizieren. Das Bundesverwaltungsgericht ist daher für die Beurteilung der vorliegenden Beschwerde zuständig. Auf die im Übrigen form- und fristgerecht eingereichte Beschwerde ist einzutreten.</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(BVGE 2007/41 E. 2; Moser/Beusch/Kneubühler, a.a.O., Rz. 1.54).</w:t>
      </w:r>
    </w:p>
    <w:p>
      <w:r>
        <w:rPr>
          <w:b/>
        </w:rPr>
        <w:t>E. 1.3</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Anwendbar auf hängige Verfahren ist aber - unter Vorbehalt von Art. 91 MWSTG - das neue Verfahrensrecht (Art. 113 Abs. 3 MWSTG); diese Bestimmung ist jedoch in dem Sinn restriktiv zu verstehen, als strikte nur Verfahrensnormen sofort anzuwenden sind, und es dabei nicht zu einer Anwendung von neuem materiellem Recht auf altrechtliche Sachverhalte kommen darf (Urteile des Bundesverwaltungsgerichts A-6312/2010 vom 10. November 2011 E. 1.4, A-7819/2008 vom 31. Januar 2011 E. 1.5, A 382/2010 vom 21. September 2010 E. 1.2). Der vorliegende Rechtsstreit betrifft die Zeit vom 1. Januar 2000 bis 30. September 2004. Soweit der Sachverhalt vom 1. Januar 2001 bis 30. September 2004 betroffen ist, untersteht das vorliegende Verfahren deshalb in materieller Hinsicht dem Bundesgesetz über die Mehrwertsteuer vom 2. September 1999 (aMWSTG, AS 2000 1300) und der Verordnung vom 29. März 2000 zum aMWSTG (aMWSTGV, AS 2000 1347). Für die Zeit vom 1. Januar bis 31. Dezember 2000 finden ferner die Bestimmungen der Verordnung vom 22. Juni 1994 über die Mehrwertsteuer (aMWSTV, AS 1994 1464) Anwendung (Art. 93 und 94 aMWSTG).</w:t>
      </w:r>
    </w:p>
    <w:p>
      <w:r>
        <w:rPr>
          <w:b/>
        </w:rPr>
        <w:t>E. 2.1</w:t>
      </w:r>
    </w:p>
    <w:p>
      <w:r>
        <w:t>Der Mehrwertsteuer unterliegen die im Inland gegen Entgelt erbrach­ten Lieferungen von Gegenständen und Dienstleistungen (Art. 5 Bst. a und b aMWSTG bzw. Art. 4 Bst. a und b aMWSTV). Als Dienstleistung gilt jede Leistung, die keine Lieferung eines Gegen­standes ist (Art. 7 Abs. 1 aMWSTG bzw. Art. 6 Abs. 1 aMWSTV).</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bzw. Art. 17 Abs. 1 aMWSTV).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 bzw. Art. 17 Abs. 2 aMWSTV). Eine Einzel­unter­nehmung wird steuerrechtlich nicht als Steuersubjekt behandelt. Vielmehr werden Inhaber von Einzelunternehmen als natürliche Perso­nen subjektiv steuerpflichtig (Urteil des Bundes­verwaltungs­gerichts A 8485/2007 vom 22. Dezember 2009 E. 2.3.3).</w:t>
      </w:r>
    </w:p>
    <w:p>
      <w:r>
        <w:rPr>
          <w:b/>
        </w:rPr>
        <w:t>E. 2.2.1</w:t>
      </w:r>
    </w:p>
    <w:p>
      <w:r>
        <w:t>Beim Begriff der mehrwertsteuerlichen Selbständigkeit handelt es sich um einen unbe­stimmten Rechtsbegriff. Wichtige Indizien für die selbständige Aus­übung der Tätigkeit sind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2C_554/2010 vom 21. September 2011 E. 2.2, 2C_426/2008 und 2C_432/2008 vom 18. Februar 2009 E. 2.2, 2C_430/2008 vom 18. Februar 2009 E. 2.2, 2C_518/2007 und 2C_519/2007 vom 11. März 2008, veröffentlicht in Archiv für Schweizerisches Abgaberecht [ASA] 77 S. 569 E. 2.2; Urteile des Bundesverwaltungs­gerichts A-4011/2010 vom 18. Januar 2011 E. 2.2.1, A 5460/2008 vom 12. Mai 2010 E. 2.2, A-156/2007 vom 20. April 2009 E. 2.2.1).</w:t>
      </w:r>
    </w:p>
    <w:p>
      <w:r>
        <w:rPr>
          <w:b/>
        </w:rPr>
        <w:t>E. 2.2.2</w:t>
      </w:r>
    </w:p>
    <w:p>
      <w:r>
        <w:t>Weitere - aber nicht allein ausschlaggebende - Indizien für die mehrwertsteuerliche Behand­lung bilden ferner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A-3822/2007 vom 3. Juni 2008 E. 2.1.4).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(Urteile des Bundes­ver­waltungsgerichts A-4011/2010 vom 18. Januar 2011 E. 2.2.2, A 5460/2008 vom 12. Mai 2010 E. 3.5.1, A 156/2007 vom 20. April 2009 E. 2.2.2).</w:t>
      </w:r>
    </w:p>
    <w:p>
      <w:r>
        <w:rPr>
          <w:b/>
        </w:rPr>
        <w:t>E. 2.2.3</w:t>
      </w:r>
    </w:p>
    <w:p>
      <w:r>
        <w:t>Angesichts des Wesens der Mehrwertsteuer als allge­meine Ver­brauch­steuer ist der Begriff der Selb­ständig­keit eher weit auszulegen (Urteile des Bundesverwaltungs­gerichts A 5460/2008 vom 12. Mai 2010 E. 2.2, A 156/2007 vom 20. April 2009 E. 2.2.4, A 1572/2006 vom 21. August 2008 E. 2.2; vgl. Daniel Riedo, Vom Wesen der Mehrwert­steuer als allgemeine Verbrauchsteuer und von den entsprechenden Wirkungen auf das schweizerische Recht, Bern 1999, S. 115, 174 f.).</w:t>
      </w:r>
    </w:p>
    <w:p>
      <w:r>
        <w:rPr>
          <w:b/>
        </w:rPr>
        <w:t>E. 2.2.4</w:t>
      </w:r>
    </w:p>
    <w:p>
      <w:r>
        <w:t>Die Frage, ob ein Unternehmer im eigenen Namen auftritt oder nicht, ist nicht nur für den Tatbestand der Selbständigkeit mass­geblich, sondern nach konstanter Rechtsprechung auch dafür, ob er überhaupt als mehrwertsteuerlicher Leistungserbringer oder -empfänger zu gel­ten hat. Denn das Handeln wird grundsätzlich demjenigen mehr­wert­steuerlich zugerechnet, der nach aussen, gegen­über Dritten im eigenen Namen auftritt (Urteile des Bundes­ver­waltungs­gerichts A 5460/2008 vom 12. Mai 2010 E. 2.2, A-5876/2008 vom 24. März 2010 E. 2.2, A 1572/2006 vom 21. August 2008 E. 2.2, A 1382/2006 und A-1383/2006 vom 19. Juli 2007 E. 2.2, bestätigt mit Urteilen des Bundesgerichts 2C_518/2007 und 2C_519/2007 vom 11. März 2008).</w:t>
      </w:r>
    </w:p>
    <w:p>
      <w:r>
        <w:rPr>
          <w:b/>
        </w:rPr>
        <w:t>E. 2.3</w:t>
      </w:r>
    </w:p>
    <w:p>
      <w:r>
        <w:t>Die Mehrwertsteuer wird vom Entgelt berechnet. Dazu gehört alles, was der Leistungsempfänger (oder ein Dritter für ihn) als Gegen­leistung für die Leistung aufwendet (Art. 33 Abs. 1 und 2 aMWSTG bzw. Art. 26 Abs. 1 und 2 aMWSTV).</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Urteile des Bundesverwaltungs­ge­richts A 5460/2008 vom 12. Mai 2010 E. 2.4, A 156/2007 vom 20. April 2009 E. 2.2.3, A-1595/2006 vom 2. April 2009 E. 2.8, bestätigt mit Urteilen des Bundesgerichts 2C_309/2009 und 2C_310/2009 vom 1. Feb­ruar 2010; ausführlich: Riedo, a.a.O., S. 112).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veröffentlicht in ASA 73 S. 565 ff. E. 3.2; BVGE 2007/23 E. 2.3.2; Urteile des Bundesver­wal­tungs­gerichts A 5460/2008 vom 12. Mai 2010 E. 2.4, A 156/2007 vom 20. April 2009 E. 2.2.3). Nicht entscheidend ist deshalb grundsätzlich, wie die Parteien ihr Ver­trags­verhältnis ausge­stalten (Urteil des Bundesgerichts 2A.47/2006 vom 6. Juli 2006 E. 3.2; zum Ganzen: Urteil des Bundesverwaltungs­gerichts A-4011/2010 vom 18. Januar 2011 E. 2.4).</w:t>
      </w:r>
    </w:p>
    <w:p>
      <w:r>
        <w:rPr>
          <w:b/>
        </w:rPr>
        <w:t>E. 2.5.1</w:t>
      </w:r>
    </w:p>
    <w:p>
      <w:r>
        <w:t>Die Veranlagung und Entrichtung der Mehrwertsteuer erfolgt nach dem Selbstveranlagungsprinzip (Art. 46 f. aMWSTG bzw. Art. 37 f. aMWSTV; vgl. Urteil des Bundesgerichts 2C_356/2008 vom 21. November 2008 E. 3.2; Urteil des Bundesverwaltungsgerichts A 5312/2008 vom 19. Mai 2010 E. 2;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2A.109/2005 vom 10. März 2006 E. 2.1; Urteile des Bundes­verwaltungsgerichts A 1344/2011 und A-3285/2011 vom 26. September 2011 E. 3.1, A 5460/2008 vom 12. Mai 2010 E. 2.5.1).</w:t>
      </w:r>
    </w:p>
    <w:p>
      <w:r>
        <w:rPr>
          <w:b/>
        </w:rPr>
        <w:t>E. 2.5.2</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aMWSTG bzw. Art. 47 Abs. 1 aMWSTV). Die ESTV kann hierüber nähere Bestimmungen aufstellen. Von dieser Befugnis hat sie mit dem Erlass der Wegleitung 1997 für Mehrwertsteuerpflichtige (Wegleitung 1997) sowie der Wegleitung 2001 zur Mehrwertsteuer (Wegleitung 2001) Gebrauch gemacht. Darin sind genauere Angaben enthalten, wie eine derartige Buchhaltung auszu­ge­stalten ist. Insbesondere müssen alle Geschäftsfälle fortlaufend, chronologisch und lückenlos aufgezeichnet werden (Wegleitung 1997 Rz. 870 ff. bzw. Wegleitung 2001 Rz. 878 ff.; vgl. zu den Anforderungen an die Aufzeichnungspflicht ferner: Urteil des Bundesgerichts 2A.693/2006 vom 26. Juli 2007 E. 3.1; Urteile des Bundesver­waltungsgerichts A 1447/2010 vom 11. November 2011 E. 2.4.3, A 7809/2010 vom 5. September 2011 E. 2.4.3, je mit weiteren Hinweisen).</w:t>
      </w:r>
    </w:p>
    <w:p>
      <w:r>
        <w:rPr>
          <w:b/>
        </w:rPr>
        <w:t>E. 2.5.3</w:t>
      </w:r>
    </w:p>
    <w:p>
      <w:r>
        <w:t>Liegen keine oder nur unvollständige Aufzeichnungen vor, oder stimmen die ausgewiesenen Ergebnisse mit dem wirklichen Sach­verhalt offensichtlich nicht überein, so nimmt die ESTV eine Schätzung nach pflichtgemässem Ermessen vor (Art. 60 aMWSTG bzw. Art. 48 aMWSTV). Die Ermessensveranlagung wird unabhängig von den Ursachen vorge­nom­men und hat keinen Strafcharakter, sondern ist lediglich ein Mittel zur Erreichung einer vollständigen und richtigen Veranlagung (Urteil des Bundesverwaltungsgerichts A 5460/2008 vom 12. Mai 2010 E. 2.5.3, Ueli Manser, mwst.com, a.a.O., N. 3 zu Art. 60). Eine Ermessen­staxation ist somit immer dann nötig, wenn eine steuerpflichtige Person ihrer Aufzeichnungs- und Abrech­nungspflicht nicht nach­gekommen ist bzw. sie nicht einmal rudimentäre geschäftliche Aufzeichnungen vorweisen kann oder ihre Abrechnung nicht eingereicht hat (Urteile des Bundesver­waltungsgerichts A 4011/2010 vom 18. Januar 2011 E. 2.5.3, A 5460/2008 vom 12. Mai 2010 E. 2.5.3, A-4417/2007 vom 10. März 2010 E. 3.1.3). Gegebenen­falls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Urteile des Bundesver­waltungs­gerichts A-1447/2010 vom 11. No­vember 2011 E. 2.6.2, A 4080/2010 vom 9. September 2011 E. 1.6, A 5460/2008 vom 12. Mai 2010 E. 2.5.3). Das Ziel der Er­messens­veranlagung ist es, den tat­sächlichen Gegebenheiten mög­lichst gerecht zu werden. Es haftet ihr deshalb eine gewisse Unsicher­heit an, welche die steuer­pflichtige Person aufgrund ihrer Pflichtver­letzung jedoch selber zu ver­treten hat (Urteile des Bundesgerichts 2C_309/2009 und 2C_310/2009 vom 1. Februar 2010 E. 2.2, 2A.437/2005 vom 3. Mai 2006 E. 3.2 mit Hinweisen; statt vieler: Urteil des Bundesverwaltungsgerichts A 6299/2009 vom 21. April 2011 E. 5.4).</w:t>
      </w:r>
    </w:p>
    <w:p>
      <w:r>
        <w:rPr>
          <w:b/>
        </w:rPr>
        <w:t>E. 2.5.4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(Urteile des Bundesverwaltungsgerichts A-6299/2009 vom 21. April 2011 E. 5.6, A-4360/2008 vom 4. März 2010 E. 2.6.1). Die Rechtmässigkeit dieser Praxis wurde höchstrichterlich bestätigt (Urteil des Bundesgerichts 2C_426/2007 vom 22. November 2007 E. 4.3). Sind die Voraussetzungen einer Ermessenstaxation erfüllt, obliegt es - in Umkehr der allgemeinen Beweislastregel - dem Steuerpflichtigen, den Beweis für die Unrichtigkeit der Schätzung zu erbringen. Er darf sich nicht darauf beschränken, die Kalkulations­grundlagen der Ermessensveranlagung allgemein zu kritisieren; er hat vielmehr darzulegen, dass die von der ESTV vorgenommene Schät­zung offensichtlich falsch ist bzw. dass ihr dabei erhebliche Ermes­sensfehler unterlaufen sind, und er hat auch den Nachweis für seine vorgebrachten Behauptungen zu erbringen (Urteile des Bundes­gerichts 2C_309/2009 und 2C_310/2009 vom 1. Februar 2010 E. 2.2, 2C_430/2008 vom 18. Februar 2009 E. 5.2, 2C_171/2008 vom 30. Juli 2008 E. 4.2; BVGE 2009/60 E. 2.9.3; Urteile des Bundesverwaltungs­gerichts A-1447/2010 vom 11. November 2011 E. 2.8.2, A-7809/2010 vom 5. September 2011 E. 2.8.2, A-4011/2010 vom 18. Januar 2011 E. 2.5.4).</w:t>
      </w:r>
    </w:p>
    <w:p>
      <w:r>
        <w:rPr>
          <w:b/>
        </w:rPr>
        <w:t>E. 2.6.1</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 3678/2007 und A-3680/2007 vom 18. August 2009 E. 3.1, 4.2).</w:t>
      </w:r>
    </w:p>
    <w:p>
      <w:r>
        <w:rPr>
          <w:b/>
        </w:rPr>
        <w:t>E. 2.6.2</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(Urteil des Bundesverwaltungsgerichts A-1447/2010 vom 11. November 2011 E. 2.7.1; Martin Zweifel/Silvia Hunziker, Beweis und Beweislast im Steuerverfahren bei der Prüfung von Leistung und Gegenleistung unter dem Gesichtswinkel des Drittvergleichs ["dealing at arm's length"], veröffentlicht in ASA 77 S. 658 ff., 665, 679 mit Hinweisen).</w:t>
      </w:r>
    </w:p>
    <w:p>
      <w:r>
        <w:rPr>
          <w:b/>
        </w:rPr>
        <w:t>E. 2.6.3</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(Urteile des Bundesverwaltungsgerichts A 7809/2010 vom 5. September 2011 E. 2.7.2, A 3123/2008 vom 27. April 2010 E. 2.8.2).</w:t>
      </w:r>
    </w:p>
    <w:p>
      <w:r>
        <w:rPr>
          <w:b/>
        </w:rPr>
        <w:t>E. 2.6.4</w:t>
      </w:r>
    </w:p>
    <w:p>
      <w:r>
        <w:t>Die Steuerbehörde hat die Pflicht, der steuerpflichtigen Person die Grundlagen der Erfahrungszahlen kundzugeben (vgl. Zweifel/Hunziker, a.a.O., S. 682 f. mit zahlreichen Hinweisen). Dies ergibt sich aus der Begründungspflicht. Ein Mindestanspruch auf Begründung folgt aus dem Anspruch auf rechtliches Gehör gemäss Art. 29 Abs. 2 der Bundesverfassung der Schweizerischen Eidgenossenschaft vom 18. April 1999 (BV, SR 101). Demnach muss die Begründung eines Entscheides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BGE 129 I 232 E. 3.2; BVGE 2007/21 E. 10.2; Urteile des Bundesverwaltungsgerichts A 1606/2006 vom 4. März 2010 E. 5.1.1, A-1765/2006 vom 30. März 2009 E. 3.4.2). Bei einer Ermessenseinschätzung mittels Erfahrungszahlen bedeutet dies, dass die ESTV dem Steuerpflichtigen die Art und Weise, wie die Ermessensveranlagung zustande gekommen ist - beinhaltend auch die Zahlen und Erfahrungswerte -, bekannt zu geben hat.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(BVGE 2009/60 E. 2.8.4; Urteil des Bundesverwaltungsgerichts A-1447/2010 vom 11. November 2011 E. 2.7.3 mit Hinweisen). Rechtsfolge einer Verletzung der Begründungspflicht und somit des Anspruchs auf das rechtliche Gehör ist grundsätzlich die Aufhebung der angefochtenen Verfügung (Ulrich Häfelin/Georg Müller/Felix Uhlmann, Allgemeines Verwaltungsrecht, 6. Aufl., Zürich/St. Gallen 2010, Rz. 1709 mit Hinweisen).</w:t>
      </w:r>
    </w:p>
    <w:p>
      <w:r>
        <w:rPr>
          <w:b/>
        </w:rPr>
        <w:t>E. 3</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Die unrichtige Auskunft der Verwaltungsbehörde ist nur bindend wenn: - die Behörde in einer konkreten Situation mit Bezug auf bestimmte Personen gehandelt hat; - wenn sie dabei für die Erteilung der betreffenden Auskunft zuständig war oder wenn der Bürger die Behörde aus zureichenden Gründen als zuständig betrachten durfte; - wenn gleichzeitig der Bürger die Unrichtigkeit der Auskunft nicht ohne weiteres erkennen konnte; - wenn er im Vertrauen auf die Richtigkeit der Auskunft Dispositionen getroffen hat, die nicht ohne Nachteil rückgängig gemacht werden können und - wenn die gesetzliche Ordnung seit der Auskunftserteilung keine Änderung erfahren hat. Zudem muss das private Interesse am Vertrauensschutz das öffentliche Interesse an der richtigen Rechtsanwendung überwiegen, damit die Berufung auf Treu und Glauben durchdringen kann (BGE 131 V 472 E. 5, Urteile des Bundesgerichts 2C_123/2010 vom 5. Mai 2010 E. 4.1, 1C_242/2007 vom 11. Juni 2008 E. 3.3.1; Urteile des Bundesverwaltungsgerichts A-7491/2010 vom 21. November 2011 E. 2.7.2, A-2925/2010 vom 25. November 2010 E. 4.2.3). Im Steuer­recht, das vom Grundsatz der Gesetzmässigkeit der Besteue­rung beherrscht wird, ist das Prinzip von Treu und Glauben nach der bundesgerichtlichen Rechtsprechung nur beschränkt anwendbar. Bei unrichtigen Zusicherungen kann eine vom Gesetz abweichende Be­handlung eines Steuerpflichtigen nur in Betracht fallen, wenn die erwähnten Bedingungen klar und eindeutig erfüllt sind (BGE 131 II 627 E. 6.1, 118 Ib 312 E. 3b; Urteile des Bundesgerichts 2C_123/2010 vom 5. Mai 2010 E. 4, vom 3. August 2000, veröffentlicht in ASA 70 S. 771 f. E. 6a). Eine mündliche Auskunft muss durch schriftliche Unterlagen belegt werden können und es wird beispielsweise verlangt, dass derjenige, der sich auf eine Auskunft oder Zusicherung berufen will, sich diese von der Verwaltung schriftlich bestätigen lässt (vgl. Urteile des Bundesverwaltungsgerichts A-2036/2008 vom 19. August 2009 E. 2.4.2, A-1391/2006 vom 16. Januar 2008 E. 3.2). Die blosse, unbe­legte Behauptung einer telefonischen Auskunft oder Zusage genügt nicht, um einen Anspruch aus dem Grundsatz des Vertrauens­schutzes zu begründen (vgl. Urteil des Bundesgerichts 2A.191/2002 vom 21. Mai 2003 E. 3.2.2; zum Ganzen: Urteil des Bundes­ver­waltungsgerichts A-568/2009 vom 17. Juli 2010 E. 2.3).</w:t>
      </w:r>
    </w:p>
    <w:p>
      <w:r>
        <w:rPr>
          <w:b/>
        </w:rPr>
        <w:t>E. 4</w:t>
      </w:r>
    </w:p>
    <w:p>
      <w:r>
        <w:t>Im vorliegenden Fall führte der Beschwerdeführer in der hier relevanten Zeit u.a. die Y._______. In deren Räumlichkeiten wurden insbesondere Saunas und Massagen angeboten. Die Massagen wurden unbestrittenermassen durch Masseurinnen auf deren eigene Rechnung durchgeführt. Der Beschwerdeführer stellte ihnen die erforderliche Infrastruktur gegen einen monatlichen Mietzins zur Verfügung. Unbestritten ist im Weiteren, dass es sich bei den betreffenden Massagen nicht um von der Steuer ausgenommene Heilbehandlungen im Sinn von Art. 18 Ziff. 3 aMWSTG bzw. Art. 14 Ziff. 3 aMWSTV gehandelt hat, sondern um klassische und - zumindest teilweise - erotische Massagen. Die ausgeführten Massagen stellen damit unbestrittenermassen steuerbare Leistungen dar. Umstritten ist dagegen, ob die Masseurinnen für Zwecke der Mehrwertsteuer als selbständig erwerbend betrachtet werden können oder die Y._______ als Leistungserbringerin der Massagen zu gelten hat und in der Folge die daraus erzielten Umsätze dem Beschwerdeführer als Inhaber der Einzelunternehmung zuzurechnen sind (E. 4.1 bis 4.6). Sofern dies zu bejahen ist, ist in einem zweiten Schritt, die Rechtmässigkeit der Ermessenseinschätzung zu prüfen (E. 5).</w:t>
      </w:r>
    </w:p>
    <w:p>
      <w:r>
        <w:rPr>
          <w:b/>
        </w:rPr>
        <w:t>E. 4.1.1</w:t>
      </w:r>
    </w:p>
    <w:p>
      <w:r>
        <w:t>Für die Beurteilung der Selbständigkeit und die Bestimmung des mehrwertsteuerrechtlichen Leistungserbringers ist das Handeln im eigenen Namen und der Auftritt gegen aussen entscheidend (E. 2.2.1 und E. 2.2.4). Massgebend ist dabei die Frage, wie das Massageangebot für die Allgemeinheit, für einen neutralen Dritten objektiv erkennbar in Erscheinung tritt (vgl. auch Urteil des Bundesverwaltungsgerichts A 4011/2010 vom 18. Januar 2011 E. 3.2.1 mit Hinweisen).</w:t>
      </w:r>
    </w:p>
    <w:p>
      <w:r>
        <w:rPr>
          <w:b/>
        </w:rPr>
        <w:t>E. 4.1.2</w:t>
      </w:r>
    </w:p>
    <w:p>
      <w:r>
        <w:t>Dies lässt sich in erster Linie anhand der Homepage (...) beurteilen, auf welcher die Massagen angeboten worden sind. In den Akten befinden sich Ausdrucke des Internetauftritts aus den Jahren 2002 und 2007. Gemäss den unwidersprochen gebliebenen Ausführungen der ESTV habe ihre Einsichtnahme in frühere Versionen gezeigt, dass sich die Grundstruktur der Homepage nicht wesentlich verändert habe. Das Bundesverwaltungsgericht kann deshalb davon ausgehen, dass die von der ESTV eingereichten Ausdrucke für die gesamte Zeit vom 1. Januar 2000 bis 30. September 2004 repräsentativ sind. Auf der Homepage wurde unter der Rubrik "Angebote" dargelegt, die Y._______ verfüge über folgende Einrichtungen: "Sauna ca. 80º C, Dampfbad ca. 40º C, Kaltwasserbecken, Frischluftbalkon, Solarium, 5 Massageräume, grosse Ruhe- und Liegefläche, Bar, Cheminée, Club-Tisch mit TV, verschiedene Massagemöglichkeiten, alkoholische Getränke sowie Verkaufsshop für Kosmetika und Düfte". Im Weiteren wurde unter der Rubrik "Preise" ausgeführt, hinsichtlich der Massagen habe man sich bei den Masseurinnen zu informieren. Unter der Rubrik "Besonderes" wurde Folgendes festgehalten: "Unsere Masseurinnen erfüllen Ihnen fast alle Wünsche. Lassen Sie sich unverbindlich informieren. [...] Sie können auch nur zur Massage oder Solarium kommen (ohne Eintritt). Wenn Sie wenig Zeit haben, reservieren Sie am besten unter (...)". Diese Telefonnummer (bzw. inhaltlich identisch [...]) erschien auch unter der Rubrik "Öffnungszeiten" der Y._______. Zudem wurden unter der Rubrik "News" jeweils neue Masseurinnen vorgestellt. Termine konnten bei der Receptionistin vereinbart werden. Der Schriftzug Y._______ war auf jeder Seite des Internetauftritts präsent, d.h. auch im Zusammenhang mit dem Massageangebot. Für die Allgemeinheit, das heisst für einen neutralen Dritten, trat damit die Einzelunternehmung Y._______ als Leistungsanbieterin der Massagen auf. Es wurde denn auf deren Homepage auch explizit von "unseren" Masseurinnen gesprochen und als Telefonnummer zur Reservation eines Massagetermins eine Festnetznummer der Y._______ und nicht jene der einzelnen Masseurin angegeben. Der Internetauftritt spricht damit gegen die mehrwertsteuerrechtliche Selbständigkeit der einzelnen Masseurinnen. An diesem Gesamtbild vermag der Umstand nichts zu ändern, dass die Preise für die Massagen direkt mit den Masseurinnen zu vereinbaren waren.</w:t>
      </w:r>
    </w:p>
    <w:p>
      <w:r>
        <w:rPr>
          <w:b/>
        </w:rPr>
        <w:t>E. 4.1.3</w:t>
      </w:r>
    </w:p>
    <w:p>
      <w:r>
        <w:t>Dieses Resultat bestätigen auch die Weiteren in den Akten befindlichen Kopien von Fotos der Türklingel, des Türschilds und einer Hinweistafel vor dem Haus. Gemäss diesen von der ESTV eingereichten Unterlagen verfügte der Betrieb nur über eine Türklingel mit dem Namen (...). Die Eingangstüre war beschriftet mit (...) und auf der Hinweistafel vor dem Haus wurden unter dem Namen (...) sowie dem Hinweis (...) die Angebote "Sauna", "Massage" und "Solarium" gemeinsam aufgeführt (vgl. amtl. Akten Nr. 30). Der neutrale Betrachter musste aufgrund dieser Hinweise davon ausgehen, dass der Massagebereich zum Leistungsangebot der Y._______ gehört. Dem entspricht im Übrigen auch das Sonderangebot laut dem Flyer vom Juli 2003, wonach ab 17.00 Uhr zu jeder Massage oder jedem Saunaeintritt ein Cocktail gratis abgegeben werde. Die Bereiche Massage und Sauna werden auch hier gemeinsam aufgeführt und deren Inanspruchnahme berechtigt zu einer weiteren Leistung (Cocktail) der Y._______.</w:t>
      </w:r>
    </w:p>
    <w:p>
      <w:r>
        <w:rPr>
          <w:b/>
        </w:rPr>
        <w:t>E. 4.1.4</w:t>
      </w:r>
    </w:p>
    <w:p>
      <w:r>
        <w:t>Entgegen den Ausführungen des Beschwerdeführers hat die ESTV offenbar eine Kontrolle vor Ort durchgeführt, ansonsten könnte sie nicht über die eingereichten Fotos verfügen. Da es mit Bezug auf die räumliche Ausgestaltung der Saunalandschaft und Massageräume zwischen dem Beschwerdeführer und der ESTV keine relevanten Differenzen gab, konnte die ESTV auf einen Besuch der einzelnen Räumlichkeiten verzichten. Insbesondere ist unbestritten, dass jedes der fünf Massagezimmer mit "Massage 1" bis "Massage 5" beschriftet war. Dies ändert jedoch nichts daran, dass - gemäss dem oben Dargelegten - der durchschnittliche Besucher davon ausgehen musste, die Massagezimmer und die dort durchgeführten Massagen seien dem Betrieb Y._______ zuzuordnen.</w:t>
      </w:r>
    </w:p>
    <w:p>
      <w:r>
        <w:rPr>
          <w:b/>
        </w:rPr>
        <w:t>E. 4.1.5</w:t>
      </w:r>
    </w:p>
    <w:p>
      <w:r>
        <w:t>Der Beschwerdeführer wendet ein, die Masseurinnen hätten eigene Telefonnummern, da sie alle über ein eigenes Geschäftshandy verfügten. Diese Behauptung wie auch grundsätzlich die Möglichkeit zur direkten Kontaktaufnahme mit den einzelnen Masseurinnen wird vom Beschwerdeführer indessen nicht belegt. Es liegen überdies ganz generell keine Hinweise bzw. Belege (namentlich auf Masseurinnen ausgestellte Rechnungen, Geschäftspapiere mit eigenem Briefkopf, eigene Prospekte usw.) dafür vor, dass die Frauen nach aussen als selbständige Unternehmerinnen, unter eigener Firma, in Erscheinung getreten sind. Ebenso wenig vermag der Beschwerdeführer seine Behauptung zu belegen, dass der Festnetzanschluss (...) von den Masseurinnen mit "Massagebetrieb (...)" und dem jeweiligen Namen abgenommen worden ist. Doch selbst wenn diese Behauptung zutreffen sollte, spricht dies nicht dafür, dass die Masseurinnen gegen aussen in eigenem Namen aufgetreten sind. Der Name "Massagebetrieb (...)" betont im Gegenteil eine betriebliche Einheit und nicht das selbständige Anbieten von Massageleistungen. Im Weiteren muss darauf hingewiesen werden, dass nach den unwidersprochen gebliebenen Ausführungen der ESTV die Telefonnummer (...) im elektronischen Telefonverzeichnis auf den Namen (...) gelautet hat. Auch in dieser Hinsicht trat somit die Y._______ gegen aussen als Leistungserbringerin der Massagen auf. Zudem wurde bereits ausgeführt, dass die betreffende Telefonnummer auch auf der Homepage als Festnetznummer der Y._______ aufgeführt worden ist (E. 4.1.2).</w:t>
      </w:r>
    </w:p>
    <w:p>
      <w:r>
        <w:rPr>
          <w:b/>
        </w:rPr>
        <w:t>E. 4.1.6</w:t>
      </w:r>
    </w:p>
    <w:p>
      <w:r>
        <w:t>Nach dem Gesagten ist festzuhalten, dass die durch die Masseurinnen angebotenen und erbrachten Masssagen aufgrund des nach aussen sichtbaren Erscheinungsbildes einen in die Gesamtorganisation des Betriebs integrierten Zweig der Y._______ des Beschwerdeführers darstellten.</w:t>
      </w:r>
    </w:p>
    <w:p>
      <w:r>
        <w:rPr>
          <w:b/>
        </w:rPr>
        <w:t>E. 4.2</w:t>
      </w:r>
    </w:p>
    <w:p>
      <w:r>
        <w:t>Ferner trifft auch nicht zu, dass die Masseurinnen in völliger betriebswirtschaftlicher bzw. arbeitsorganisatorischer Unabhängigkeit handelten. Es waren jeweils mehrere Frauen, welche die fünf Massageräume gleichzeitig oder nacheinander für ihre Massagen nutzten. Zudem legte der Beschwerdeführer die Öffnungszeiten fest (gemäss Internetauftritt: Montag bis Freitag von 12.00 bis 22.00 Uhr und am Samstag von 12.00 bis 19.00 Uhr). Umfang und Zeitpunkt der Leistungserbringung der einzelnen Masseurinnen waren folglich direkt von der Belegung der Massageräume und den Öffnungszeiten abhängig. Leistungsumfang und -zeit konnten die Masseurinnen demnach nur bedingt frei wählen. Zudem hatten die Masseurinnen nach dem Gesagten unbestrittenermassen keine eigenen Geschäftsräumlichkeiten, sondern arbeiteten - je nach Belegung - in einem der fünf Massagenräume und mussten diese sogar im Lauf eines Tages wechseln. Dementsprechend lauteten die Mietverträge des Beschwerdeführers mit den einzelnen Masseurinnen auch generell auf die "Benützung der notwendigen Räumlichkeiten" für Massageeinsätze (vgl. Mietvertrag, amtl. Akten Nr. 12). Auch diese betriebswirtschaftliche bzw. arbeitsorganisatorische Abhängigkeit vom Beschwerdeführer spricht gegen die mehrwertsteuerrechtliche Selbständigkeit der Masseurinnen (E. 2.2.1).</w:t>
      </w:r>
    </w:p>
    <w:p>
      <w:r>
        <w:rPr>
          <w:b/>
        </w:rPr>
        <w:t>E. 4.3</w:t>
      </w:r>
    </w:p>
    <w:p>
      <w:r>
        <w:t>Der Beschwerdeführer bringt vor, er habe keine Sozialversicherungsbeiträge für die Masseurinnen abgerechnet. Diese seien dafür selber verantwortlich gewesen. Den Beweis, dass die Masseurinnen vorliegend von den Sozialversicherungen als Selbständigerwerbende behandelt worden sind, blieb er jedoch schuldig. Der Umstand, dass gemäss den in den Akten befindlichen Mietverträgen vereinbart worden ist, die Masseurinnen seien selbständig erwerbend und für ihre Versicherungen selber verantwortlich, kann daran nichts ändern. Diese Vereinbarung ist rein privatrechtlicher Natur und hat zumindest für Zwecke der Mehrwertsteuer keine entscheidende Relevanz. Die mehrwertsteuerrechtliche Qualifikation von Vorgängen hat ohnehin nicht in erster Linie aus einer vertragsrechtlichen Sicht, sondern nach wirtschaftlichen, tatsächlichen Kriterien zu erfolgen (E. 2.4). Im Übrigen ist darauf hinzuweisen, dass die Art der Abrechnung der Sozialversicherungsbeiträge zwar ein nicht unbedeutendes, aber dennoch nicht allein ausschlaggebendes Indiz für die mehrwertsteuerrechtliche Behandlung bildet (E. 2.2.2).</w:t>
      </w:r>
    </w:p>
    <w:p>
      <w:r>
        <w:rPr>
          <w:b/>
        </w:rPr>
        <w:t>E. 4.4</w:t>
      </w:r>
    </w:p>
    <w:p>
      <w:r>
        <w:t>Schliesslich wendet der Beschwerdeführer ein, entscheidend sei doch, wer das Inkasso vornehme. Dieses erfolge unbestrittenermassen durch die Masseurinnen selber. Der Beschwerdeführer verkennt, dass für die Frage der mehrwertsteuerrechtlichen Selbständigkeit die direkte Bezahlung der Dienstleistung an die Masseurinnen nicht entscheidend ist (vgl. die entscheidenden Kriterien in E. 2.2.1). Ein solches System der direkten Bezahlung ist im Übrigen auch in anderen Bereichen, namentlich in solchen Berufssparten verbreitet, in denen die Leistungen ohne schriftliche Fakturierung erbracht werden und die Entschädigung in bar eingenommen wird (vgl. Urteil des Bundesgerichts vom 11. März 2008, veröffentlicht in ASA 77 S. 572 E. 3.3.2; Urteil des Bundesverwaltungsgerichts A 5460/2008 vom 12. Mai 2010 E. 3.5.2). So werden auch bei Coiffeurbetrieben die Leistungen häufig direkt dem (unselbständig erwerbenden) Coiffeur bezahlt, ohne dass dieser dadurch selbständig erwerbend würde.</w:t>
      </w:r>
    </w:p>
    <w:p>
      <w:r>
        <w:rPr>
          <w:b/>
        </w:rPr>
        <w:t>E. 4.5</w:t>
      </w:r>
    </w:p>
    <w:p>
      <w:r>
        <w:t>Letztlich beruft sich der Beschwerdeführer auf den Schutz seines berechtigten Vertrauens in eine Auskunft der ESTV. Diese habe ihm auf seine Anfrage im Mai 2000 mitgeteilt, die Untervermietung von Räumlichkeiten an Masseurinnen unterliege nicht der Mehrwertsteuer. Beweismittel bezüglich dieser Auskunft reichte der Beschwerdeführer indessen keine ein. Es liegen auch sonst keine Anhaltspunkte vor, welche die Behauptung des Beschwerdeführers stützten. Unklar ist auch, ob es sich um eine schriftliche oder mündliche Auskunft der ESTV gehandelt haben soll. Dies kann aber offen bleiben. Die unbelegte Behauptung einer Auskunft vermag nach der Rechtsprechung ohnehin keinen Anspruch aus dem Grundsatz des Vertrauensschutzes zu begründen (E. 3). Es ist deshalb auf den betreffenden Einwand des Beschwerdeführers nicht näher einzugehen.</w:t>
      </w:r>
    </w:p>
    <w:p>
      <w:r>
        <w:rPr>
          <w:b/>
        </w:rPr>
        <w:t>E. 4.6</w:t>
      </w:r>
    </w:p>
    <w:p>
      <w:r>
        <w:t>Zusammenfassend trat die Y._______ gegen aussen im eigenen Namen als Erbringerin der Massagedienstleistungen auf und damit nicht die einzelnen Masseurinnen selber. Diese übten ihre berufliche bzw. gewerbliche Tätigkeit in der Folge nicht selbständig im Sinn von Art. 21 Abs. 1 aMWSTG bzw. Art. 17 Abs. 1 aMWSTV aus. Damit sind dem Beschwerdeführer als Inhaber u.a. der Einzelunternehmung Y._______ die betreffenden Umsätze aus den Massagen zuzurechnen.</w:t>
      </w:r>
    </w:p>
    <w:p>
      <w:r>
        <w:rPr>
          <w:b/>
        </w:rPr>
        <w:t>E. 5</w:t>
      </w:r>
    </w:p>
    <w:p>
      <w:r>
        <w:t>Als Nächstes ist die Rechtmässigkeit der von der ESTV vorgenommenen Ermessenseinschätzung zu beurteilen.</w:t>
      </w:r>
    </w:p>
    <w:p>
      <w:r>
        <w:rPr>
          <w:b/>
        </w:rPr>
        <w:t>E. 5.1</w:t>
      </w:r>
    </w:p>
    <w:p>
      <w:r>
        <w:t>Der Beschwerdeführer hat unbestrittenermassen die von den Masseurinnen vereinnahmten Entgelte nirgends in seiner Buchhaltung aufgeführt, obschon ihm die entsprechenden Umsätze mehrwertsteuerrechtlich zuzurechnen sind. Auch hat er der ESTV diesbezüglich keinerlei Belege vorgelegt. Unter diesen Umständen war die ESTV klarerweise dazu berechtigt und verpflichtet, die fraglichen Umsätze durch pflichtgemässe Schätzung zu ermitteln (E. 2.5).</w:t>
      </w:r>
    </w:p>
    <w:p>
      <w:r>
        <w:rPr>
          <w:b/>
        </w:rPr>
        <w:t>E. 5.2.1</w:t>
      </w:r>
    </w:p>
    <w:p>
      <w:r>
        <w:t>Der Beschwerdeführer bestreitet die Höhe der Ermessenseinschätzung, ohne sich jedoch konkret damit auseinanderzusetzen oder in irgendeiner Weise nachzuweisen, dass diese falsch ist. So hält er lediglich fest, er habe die Schätzung nicht beanstandet, da er davon ausgehe, dass die Vermietung der Räume nicht der Mehrwertsteuer unterliege. Es sei aber klar, dass die Schätzung viel zu hoch sei. Diese pauschale Aussage für sich allein ist zwar nicht geeignet, den Beweis für die Unrichtigkeit der Schätzung zu erbringen. Zu beachten ist aber, dass auch bei einer zulässigerweise vorgenommenen Ermessenseinschätzung die ESTV nicht davon entbunden ist, ihren Entscheid auch hinsichtlich der Höhe der Schätzung genügend zu begründen (BVGE 2009/60 E. 2.8.4). Ob dies der Fall ist, ist nachfolgend zu prüfen (vgl. E. 2.6.4).</w:t>
      </w:r>
    </w:p>
    <w:p>
      <w:r>
        <w:rPr>
          <w:b/>
        </w:rPr>
        <w:t>E. 5.2.2</w:t>
      </w:r>
    </w:p>
    <w:p>
      <w:r>
        <w:t>Die ESTV legte in ihrem Einspracheentscheid dar, ihre Schätzung beruhe - zugunsten des Beschwerdeführers - auf der Annahme, es seien im Kontrollzeitraum in der Y._______ mehrheitlich klassische Massagen ausgeübt worden und die Mieteinnahmen hätten 27% des Gesamtumsatzes ausgemacht. Dieser Prozentsatz sei aufgrund der Erfahrungswerte eines entsprechenden Betriebs festgelegt worden, unter der Annahme, dass der Preis für eine einstündige Massage Fr. 65.-- bis Fr. 75.-- kostet (vgl. Einspracheentscheid E. 2.5 mit Fussnote 3). In den Ergänzungsabrechnungen hat die ESTV dementsprechend die Mieteinnahmen aus der Vermietung der Räumlichkeiten an die Masseurinnen (gemäss Konto 4002) mit 27% eingesetzt. In der Folge rechnete sie für die Schätzung der Massageumsätze die Mieteinnahmen auf 100% hoch. Im Weiteren hat die ESTV ihre Ermessenseinschätzung - auch im vorliegenden Beschwerdeverfahren - nicht weiter begründet. Es fragt sich, ob sie damit ihrer Begründungspflicht genügend nachgekommen ist (vgl. E. 2.6.4).</w:t>
      </w:r>
    </w:p>
    <w:p>
      <w:r>
        <w:rPr>
          <w:b/>
        </w:rPr>
        <w:t>E. 5.2.3</w:t>
      </w:r>
    </w:p>
    <w:p>
      <w:r>
        <w:t>Die ESTV hat sich bei ihrer Schätzung offenbar ausschliesslich auf Zahlen eines einzigen (anderen) Betriebs gestützt. Sie hat es indessen unterlassen zu erläutern, dass dieser zum Vergleich herangezogene entsprechende Betrieb nicht nur der gleichen Branche zuzurechnen ist, sondern auch in anderer Hinsicht vergleichbar ist, wie zum Beispiel betreffend Standort, Betriebsgrösse, Kundenkreis usw. Die ESTV führt lediglich (zumindest implizit) aus, dass bei diesem Vergleichsbetrieb «mehrheitlich» klassische Massagen angeboten würden und ein Stundenpreis von Fr. 65.-- bis Fr. 75.-- gelte. Diese Angaben sind ungenügend. Dies muss hier umso mehr gelten, als die ESTV bei der Ermittlung ihrer Erfahrungszahl - soweit erkennbar - nur einen Betrieb berücksichtigt hat. Sie hat demnach ihre Schätzung und damit ihren Einspracheentscheid unzureichend begründet (E. 2.6.4). Bei diesem Resultat kann offen bleiben, ob es überhaupt zulässig war, die Schätzung nur auf einen Vergleichsbetrieb abzustützen (vgl. E. 2.6.3).</w:t>
      </w:r>
    </w:p>
    <w:p>
      <w:r>
        <w:rPr>
          <w:b/>
        </w:rPr>
        <w:t>E. 5.2.4</w:t>
      </w:r>
    </w:p>
    <w:p>
      <w:r>
        <w:t>Die Schätzung der ESTV erweist sich im Übrigen - abgesehen von der unzureichenden Begründung - aber auch noch aus einem weiteren Grund als mangelhaft. Die ESTV legt dar, sie sei «zugunsten» des Beschwerdeführers davon ausgegangen, dass mehrheitlich klassische - und damit nicht erotische - Massagen angeboten worden seien. In anderen Ermessenseinschätzungen, die das Bundesverwaltungsgericht zu behandeln hatte, ging die ESTV indessen bei Dienstleisterinnen im Erotikgewerbe praxisgemäss von einem Anteil von 40% bis 45% aus, die diese den Betreibern des Etablissements abzuliefern hätten. Diese Erfahrungszahlen wurden vom Bundesverwaltungsgericht in konkreten Anwendungsfällen bestätigt (vgl. Urteile des Bundesverwaltungsgerichts A 5460/2008 vom 12. Mai 2010 E. 4.2.2 und 4.2.4 sowie A-1545/2006 und A 1546/2006 vom 30. April 2008, jeweils E. 4.2.1; vgl. auch die weiteren Urteile des Bundesverwaltungsgerichts, bei denen ebenfalls ein solcher Prozentsatz angenommen worden ist: A-1399/2006 und A 1400/2006 vom 6. Februar 2008, jeweils E. 3.4.1, A-1382/2006 und A 1383/2006 vom 19. Juli 2007, jeweils E. 3.5, bestätigt durch Urteil des Bundesgerichts vom 11. März 2008, veröffentlicht in ASA 77 S. 567 ff.). Die Anwendung dieser Erfahrungswerte würde vorliegend zu einem deutlich tieferen Umsatz führen, da die Mieteinnahmen statt mit 27%, mit 40% bis 45% gleichgesetzt und anschliessend auf 100% hochgerechnet würden. Entgegen den Ausführungen der ESTV war die Annahme von mehrheitlich klassischen Massagen damit nicht «zugunsten» des Beschwerdeführers.</w:t>
      </w:r>
    </w:p>
    <w:p>
      <w:r>
        <w:rPr>
          <w:b/>
        </w:rPr>
        <w:t>E. 5.3</w:t>
      </w:r>
    </w:p>
    <w:p>
      <w:r>
        <w:t>Als Folge der Verletzung der Begründungspflicht ist der Einspracheentscheid der ESTV vom 2. März 2011 aufzuheben und die Sache an die ESTV zurückzuweisen (E. 2.6.4). Sie hat eine Schätzung nach pflichtgemässem Ermessen vorzunehmen und diese bzw. ihren neu zu treffenden Einspracheentscheid in genügender Weise zu begründen.</w:t>
      </w:r>
    </w:p>
    <w:p>
      <w:r>
        <w:rPr>
          <w:b/>
        </w:rPr>
        <w:t>E. 6</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(Urteil des Bundesverwaltungsgerichts A-7809/2010 vom 5. September 2011 E. 4). Der Beschwerdeführer gilt damit als obsiegend, weshalb ihm keine Verfahrenskosten aufzuerlegen sind. Der geleistete Kostenvorschuss von Fr. 3'000.-- wird ihm zurückerstattet. Die unterliegende Vorinstanz trägt als Bundesbehörde keine Verfahrenskosten (Art. 63 Abs. 2 VwVG). Der nicht vertretene Beschwerdeführer hat keinen Anspruch auf Parteientschädigung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