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A-1966/2017 vom 26. Juli 2018</w:t>
      </w:r>
    </w:p>
    <w:p>
      <w:r>
        <w:t>Bundesverwaltungsgericht, 2018-07-26, IT</w:t>
      </w:r>
    </w:p>
    <w:p>
      <w:r>
        <w:rPr>
          <w:b/>
        </w:rPr>
        <w:t xml:space="preserve">Quelle: </w:t>
      </w:r>
      <w:r>
        <w:t>https://mcp.opencaselaw.ch/entscheid/bvger_A-1966_2017</w:t>
      </w:r>
    </w:p>
    <w:p>
      <w:r>
        <w:t>FR: TAF A-1966/2017 du 26 juillet 2018</w:t>
      </w:r>
    </w:p>
    <w:p>
      <w:r>
        <w:t>IT: TAF A-1966/2017 del 26 luglio 2018</w:t>
      </w:r>
    </w:p>
    <w:p>
      <w:pPr>
        <w:pStyle w:val="Heading2"/>
      </w:pPr>
      <w:r>
        <w:t>Regeste</w:t>
      </w:r>
    </w:p>
    <w:p>
      <w:r>
        <w:t>Dogane</w:t>
      </w:r>
    </w:p>
    <w:p>
      <w:pPr>
        <w:pStyle w:val="Heading2"/>
      </w:pPr>
      <w:r>
        <w:t>Erwägungen</w:t>
      </w:r>
    </w:p>
    <w:p>
      <w:r>
        <w:rPr>
          <w:b/>
        </w:rPr>
        <w:t>E. 7</w:t>
      </w:r>
    </w:p>
    <w:p>
      <w:r>
        <w:t>Visto l'esito della procedura, nessuna spesa processuale è messa a carico dell'insorgente e dell'autorità inferiore (cfr. art. 63 PA). Alla crescita in giudicato del presente giudizio, l'anticipo spese di 4'250 CHF versato a suo tempo dalla ricorrente le verrà pertanto restituito. Il medesimo principio vale per la procedura ricorsuale davanti alla prima istanza. In proposito siccome la ricorrente ha pagato un anticipo spese nel quadro di tale procedura, esso deve esserle restituito. Giusta l'art. 64 cpv. 1 PA in relazione con l'art. 7 cpv. 1 del regolamento del 21 febbraio 2008 sulle tasse e sulle spese ripetibili nelle cause dinanzi al Tribunale amministrativo federale (TS-TAF, RS 173.320.2), se ammette il ricorso, l'autorità giudicante assegna alla ricorrente un'indennità per le spese che ha sopportato. Lo scrivente Tribunale può statuire d'ufficio in merito alle ripetibili in base alla nota d'onorario del patrocinatore, ove esiste, nonché sugli atti e di regola senza dover procedere con una motivazione circostanziata (cfr. art. 10 segg. TS-TAF). Qualora la ricorrente è stata rappresentata da un patrocinatore pure davanti alla prima istanza devono esserle riconosciute parimenti le spese sopportate in questo contesto. In concreto, tenuto conto degli atti della causa e del fatto che la ricorrente ha agito nella presente procedura, come pure nelle precedente, facendosi assistere da un legale iscritto nel registro degli avvocati del Cantone Ticino, la concessione di un'indennità per spese ripetibili appare qui giustificata e viene fissata, per entrambe le procedure, a 6'375 CHF. Alla crescita in giudicato del presente giudizio, tale importo dovrà essere versato alla ricorrente dall'autorità inferiore, qui parte soccombente.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