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A-1949/2021 vom 22. Juni 2022</w:t>
      </w:r>
    </w:p>
    <w:p>
      <w:r>
        <w:t>Bundesverwaltungsgericht, 2022-06-22, FR</w:t>
      </w:r>
    </w:p>
    <w:p>
      <w:r>
        <w:rPr>
          <w:b/>
        </w:rPr>
        <w:t xml:space="preserve">Quelle: </w:t>
      </w:r>
      <w:r>
        <w:t>https://mcp.opencaselaw.ch/entscheid/bvger_A-1949_2021_d20220622</w:t>
      </w:r>
    </w:p>
    <w:p>
      <w:r>
        <w:t>FR: TAF A-1949/2021 du 22 juin 2022</w:t>
      </w:r>
    </w:p>
    <w:p>
      <w:r>
        <w:t>IT: TAF A-1949/2021 del 22 giugno 2022</w:t>
      </w:r>
    </w:p>
    <w:p>
      <w:pPr>
        <w:pStyle w:val="Heading2"/>
      </w:pPr>
      <w:r>
        <w:t>Regeste</w:t>
      </w:r>
    </w:p>
    <w:p>
      <w:r>
        <w:t>Assistance administrative | Assistance administrative (CDI CH-FR)</w:t>
      </w:r>
    </w:p>
    <w:p>
      <w:pPr>
        <w:pStyle w:val="Heading2"/>
      </w:pPr>
      <w:r>
        <w:t>Erwägungen</w:t>
      </w:r>
    </w:p>
    <w:p>
      <w:r>
        <w:rPr>
          <w:b/>
        </w:rPr>
        <w:t>E. 5.1</w:t>
      </w:r>
    </w:p>
    <w:p>
      <w:r>
        <w:t>Pour ce qui est des conditions de fond, les recourantes allèguent une vio- lation du principe de la pertinence vraisemblable à plusieurs égards.</w:t>
      </w:r>
    </w:p>
    <w:p>
      <w:r>
        <w:rPr>
          <w:b/>
        </w:rPr>
        <w:t>E. 5.1.1.1</w:t>
      </w:r>
    </w:p>
    <w:p>
      <w:r>
        <w:t>Les recourantes arguent en premier lieu que les informations les concernant ne rempliraient pas la condition de la pertinence vraisemblable dès lors qu’elles n’auraient pas été fiscalement domiciliées en France du- rant la période visée, mais au Maroc, respectivement au Costa Rica. Ces dernières reprochent en particulier à la DGFiP de s’être fondée sur des données statistiques insuffisantes pour déterminer leurs domiciles fiscaux. En outre, l’AFC aurait ignoré les arguments et offres de preuves que les recourantes lui ont fournis pour démontrer qu’elles étaient assujetties de manière illimitée aux impôts au Maroc et au Costa Rica durant la période sous contrôle. A l’appui de leur grief, les recourantes produisent notam- ment deux cartes de résidence marocaine de la recourante 1 valables jusqu’au 30 janvier 2014, respectivement jusqu’au 31 janvier 2024. Les re- courantes soulignent à ce propos que l’adresse indiquée sur les cartes de résidence susmentionnées concorde avec celle figurant sur les annexes des décisions querellées fournies par l’UBS.</w:t>
      </w:r>
    </w:p>
    <w:p>
      <w:r>
        <w:t>En outre, le code domicile « France » qui leur a été attribué sur la liste Excel annexée à la requête du 11 mai 2016 serait la conséquence d’une erreur de la banque et d’une tenue négligente de ses fichiers. A cela s’ajoute que les listes dont il est question concernent des données récol- tées en 2006, respectivement en 2008. Par ailleurs, les critères utilisés par l’UBS pour classifier les comptes et pour leur attribuer un code domicile ne sont pas connus. Les recourantes en déduisent que cette classification ne pourrait pas constituer à elle seule une présomption fiable d’un assujettis- sement illimité en France.</w:t>
      </w:r>
    </w:p>
    <w:p>
      <w:r>
        <w:t>Il découlerait de ce qui précède que la condition de la pertinence vraisem- blable des informations requises ne serait pas remplie dans le cas d’es- pèce, ceci bien que les recourantes figurent dans les livres de la banque UBS avec un code domicile français (« 111 »).</w:t>
      </w:r>
    </w:p>
    <w:p>
      <w:r>
        <w:rPr>
          <w:b/>
        </w:rPr>
        <w:t>E. 5.1.1.2</w:t>
      </w:r>
    </w:p>
    <w:p>
      <w:r>
        <w:t>En l’occurrence, dans l’ATF 146 II 150, le Tribunal fédéral a jugé d’une manière qui lie la Cour de céans (ci-avant consid. 1.4.3) que la de- mande litigieuse ne constituait pas une pêche aux renseignements prohi- bée et que les informations requises remplissaient la condition de la perti- nence vraisemblable (cf. ATF 146 II 150 consid. 6). A cet effet, la Haute</w:t>
      </w:r>
    </w:p>
    <w:p>
      <w:r>
        <w:t>A-1949/2021 Page 25 Cour a relevé que la demande du 11 mai 2016 – qui constitue une « de- mande collective » (cf. consid. 4.3 supra) – répondait aux trois critères dé- veloppés par la jurisprudence en lien avec les demandes groupées, appli- cables par analogie aux « demandes collectives », permettant d’exclure l’existence d’une fishing expedition (ci-avant consid. 2.5.2 pour l’énuméra- tion exhaustive de ces trois critères ; ATF 146 II 150 consid. 6.1.3 et 6.2). L’analyse de la Haute Cour s’est portée spécifiquement sur le critère prin- cipalement contesté – à savoir celui exigeant que la demande expose le droit fiscal applicable et les raisons permettant de supposer que les contri- 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w:t>
      </w:r>
    </w:p>
    <w:p>
      <w:r>
        <w:t>Dès lors que la Cour de céans est tenue de se fonder sur les considérants de l’arrêt en cause et ne peut s’écarter de l’argumentation juridique du Tri- bunal fédéral, il y a lieu de conclure que les arguments invoqués par les recourantes ne permettent pas de conclure que la demande litigieuse cons- tituerait une fishing expedition et violerait le principe de la pertinence vrai- semblable.</w:t>
      </w:r>
    </w:p>
    <w:p>
      <w:r>
        <w:rPr>
          <w:b/>
        </w:rPr>
        <w:t>E. 5.1.1.3</w:t>
      </w:r>
    </w:p>
    <w:p>
      <w:r>
        <w:t>En revanche, la question n’a pas été spécifiquement examinée, dans l’arrêt du Tribunal fédéral, de savoir si, compte tenu des éléments concernant l’absence de domicile en France tels qu’invoqués ici par les recourantes, la pertinence vraisemblable ne serait en l’espèce pas remplie. A cet égard, la Cour de céans rappelle qu'en présence d'un conflit de rési- dence, la Suisse devrait en principe se contenter, en qualité d'Etat requis, de vérifier que le critère d'assujettissement invoqué par l'Etat requérant se trouve dans ceux prévus dans la norme conventionnelle applicable concer- nant la détermination du domicile ; elle n'a en effet ni les moyens matériels ni la compétence formelle de trancher un tel conflit lorsqu'elle reçoit une demande d'assistance (cf. consid. 2.10 supra).</w:t>
      </w:r>
    </w:p>
    <w:p>
      <w:r>
        <w:t>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 sid. 4.2). Cet élément est de surcroît appuyé par l’arrêt du Tribunal fédéral qui a jugé dans l’ATF 146 II 150 – à tout le moins implicitement en consi- dérant que la demande du 11 mai 2016 était admissible – que ces codes</w:t>
      </w:r>
    </w:p>
    <w:p>
      <w:r>
        <w:t>A-1949/2021 Page 26 de domicile constituaient des critères d’assujettissement suffisants, et ex- plicitement au considérant 6 que « les renseignements demandés remplis- sent la condition de la pertinence vraisemblable selon l'art. 28 par. 1 CDI CH-FR ». Dans ces circonstances et compte tenu du fait qu’il est incontes- table que les recourantes figurent avec un code domicile français « 111 » dans la liste Excel annexée à la requête du 11 mai 2016, il y a lieu de retenir que le critère d’assujettissement invoqué par l’Etat requérant dans le cas d’espèce, à savoir celui du domicile, est apparemment plausible et la ques- tion de savoir s’il entre en concurrence avec un critère d’assujettissement des Etat tiers dans lesquels les recourantes font valoir avoir été domiciliées fiscalement durant la période sous contrôle n’a pas à être examinée par la Cour de céans.</w:t>
      </w:r>
    </w:p>
    <w:p>
      <w:r>
        <w:rPr>
          <w:b/>
        </w:rPr>
        <w:t>E. 5.1.1.4</w:t>
      </w:r>
    </w:p>
    <w:p>
      <w:r>
        <w:t>Quant à l’argument des recourantes exposant que le code domicile français leur aurait été attribué par erreur, le Tribunal rappelle que dans le cadre d’un recours contre une décision finale de l’AFC, il se limite à vérifier le respect des conditions de l’assistance administrative, sans devoir vérifier matériellement si c’est à juste titre que le code « 111 » a été mentionné au regard du compte UBS du recourant, dès lors que ce dernier ne conteste pas l’existence de cette mention. Le rôle de l’Etat requis, en matière d’as- sistance administrative, est assez restreint, étant donné qu’il se borne à examiner si les documents requis sont potentiellement propres à être utili- sés dans la procédure étrangère. En l’espèce, les recourantes se conten- tent d’alléguer l’inexactitude du code domicile, n’énonçant aucun élément probant. Il n’y a dès lors pas lieu de s’écarter des informations transmises par la DGFiP et ressortant des listes de la banque UBS.</w:t>
      </w:r>
    </w:p>
    <w:p>
      <w:r>
        <w:rPr>
          <w:b/>
        </w:rPr>
        <w:t>E. 5.1.1.5</w:t>
      </w:r>
    </w:p>
    <w:p>
      <w:r>
        <w:t>La Cour de céans relève encore qu’il n’est pas préjudiciable que la demande d’assistance administrative se fonde sur les listes B et C datant respectivement de 2006 et 2008, alors les renseignements demandés por- tent sur les années 2010 à 2015. En effet, il ressort de l’état de fait de la requête que l’autorité française cherche à déterminer si les personnes der- 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w:t>
      </w:r>
    </w:p>
    <w:p>
      <w:r>
        <w:t>A-1949/2021 Page 27 crets permettant de soupçonner que les personnes concernées, identi- fiables au travers des listes B et C, avaient agi en violation du droit fiscal. Partant, le fait que la demande repose sur des listes datant de 2006 et 2008 ne permet pas de conclure – comme l’avancent les recourantes – que les informations requises ne seraient pas vraisemblablement pertinentes quel qu’ait été son domicile fiscal entendu au sens international matériel pour les années 2006 et 2008.</w:t>
      </w:r>
    </w:p>
    <w:p>
      <w:r>
        <w:t>Au vu de tout ce qui précède, le grief invoqué par les recourantes doit être rejeté.</w:t>
      </w:r>
    </w:p>
    <w:p>
      <w:r>
        <w:rPr>
          <w:b/>
        </w:rPr>
        <w:t>E. 5.1.2.1</w:t>
      </w:r>
    </w:p>
    <w:p>
      <w:r>
        <w:t>Dans leur réplique du 9 août 2021 et leurs observations spontanées du 16 mars 2022, les recourantes soutiennent que la prescription décen- nale française serait acquise en ce qui concerne le contrôle et le recouvre- ment de l’impôt pour les années fiscales 2010 et 2011, ce qui impliquerait que la demande d’assistance administrative y relative serait devenue sans objet. A l’appui de leur grief, les recourantes produisent un avis de droit d’un avocat français du 30 juillet 2021. La transmission d’informations con- cernant les années fiscales 2010 et 2011 serait contraire aux principes de la pertinence vraisemblable et de la proportionnalité, étant donné que ces informations ne seraient pas propres à élucider le but fiscal invoqué à l’ap- pui de la demande d’assistance. Les recourantes invoquent l’arrêt du Tri- bunal fédéral 2C_703/2019 du 16 novembre 2020, selon lequel l’AFC se devrait d’éclaircir cette question.</w:t>
      </w:r>
    </w:p>
    <w:p>
      <w:r>
        <w:rPr>
          <w:b/>
        </w:rPr>
        <w:t>E. 5.1.2.2</w:t>
      </w:r>
    </w:p>
    <w:p>
      <w:r>
        <w:t>Avant tout il sied de relever qu’en tant qu’expertise privée, l’avis de droit produit par les recourantes est constitutif d’une simple allégation de partie, dans la mesure où l’expert privé ne peut pas être considéré comme indépendant et impartial, en raison notamment de sa relation contractuelle avec les intéressés, contrairement à l’expert judiciaire (cf. arrêt du TF 1C_106/2016 du 9 juin 2016 consid. 2.2.4 et les arrêts cités). La pièce pro- duite est ainsi soumise à la libre appréciation des preuves.</w:t>
      </w:r>
    </w:p>
    <w:p>
      <w:r>
        <w:t>La Cour de céans relève ensuite que le grief relatif à la prescription des périodes fiscales 2010 et 2011 soulevé par les recourantes concerne la procédure interne menée dans l'Etat requérant. La prescription n’empêche pas la transmission des renseignements requis, même si elle est admise par l’autorité requérante. A fortiori, elle ne fait pas perdre la pertinence vrai- semblable lorsque la question est contestée (cf. arrêts du TF 2C_662/2021, 2C_663/2021 du 18 mars 2022 consid. 5.4 à 5.6). La procédure d'assis- tance ne tranche pas matériellement l'affaire ; il appartient à chaque Etat</w:t>
      </w:r>
    </w:p>
    <w:p>
      <w:r>
        <w:t>A-1949/2021 Page 28 d'interpréter sa propre législation et de contrôler la manière dont celle-ci est appliquée (cf. arrêt du TF 2C_1162/2016 du 4 octobre 2017 consid. 6.4 ; arrêt du TAF A-1944/2017 du 8 août 2018 consid. 3.3.6.2 ; voir aussi arrêts du TAF A-4669/2016 du 8 décembre 2017 consid. 2.7 et A- 4025/2016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 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aux recou- rantes de faire valoir leurs moyens procéduraux devant les autorités com- pétentes de l'Etat requérant.</w:t>
      </w:r>
    </w:p>
    <w:p>
      <w:r>
        <w:rPr>
          <w:b/>
        </w:rPr>
        <w:t>E. 5.1.2.3</w:t>
      </w:r>
    </w:p>
    <w:p>
      <w:r>
        <w:t>Par ailleurs, l’arrêt du TF 2C_703/2019 du 16 novembre 2020 invo- qué par les recourantes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les recourantes n’ont jamais affirmé que le délai pour le dépôt de la déclaration d’impôts aurait été encore ouvert. La solu- tion de cet arrêt n’est donc pas transposable au cas d’espèce.</w:t>
      </w:r>
    </w:p>
    <w:p>
      <w:r>
        <w:rPr>
          <w:b/>
        </w:rPr>
        <w:t>E. 5.1.2.4</w:t>
      </w:r>
    </w:p>
    <w:p>
      <w:r>
        <w:t>Au vu de ces éléments, le Tribunal ne constate pas de violation de la norme de la pertinence vraisemblable en lien avec la prescription décen- nale française. Le grief des recourantes à cet égard doit être rejeté.</w:t>
      </w:r>
    </w:p>
    <w:p>
      <w:r>
        <w:rPr>
          <w:b/>
        </w:rPr>
        <w:t>E. 5.2.1</w:t>
      </w:r>
    </w:p>
    <w:p>
      <w:r>
        <w:t>Les recourantes reprochent à l’autorité inférieure d’avoir procédé à un échange spontané d’informations. Elles considèrent que l’AFC a inter- prété de manière extensive la demande d’assistance administrative, en constatant que le code domicile français « 111 » est fiable et qu’il s’agit d’un critère suffisant pour établir l’existence d’un assujettissement des recou- rantes en France. Alors qu’il reviendrait à l’autorité requérante d’alléguer les éléments factuels permettant d’inférer une résidence fiscale française aux contribuables en question, celle-ci ne pourrait pas se contenter de la simple indication du code domicile « France ». Dans la mesure où l’autorité</w:t>
      </w:r>
    </w:p>
    <w:p>
      <w:r>
        <w:t>A-1949/2021 Page 29 inférieure prévoirait quand-même de transmettre à la DGFiP des rensei- gnements sur des personnes dont il n’aurait pas été démontré à satisfac- tion qu’elles auraient fiscalement résidées en France durant la période sous contrôle, cette dernière se livrerait à une entraide spontanée prohi- bée.</w:t>
      </w:r>
    </w:p>
    <w:p>
      <w:r>
        <w:t>En l’espèce, les recourantes se méprennent sur le sens à donner à l’en- traide spontanée prohibée. La Cour de céans rappelle que par assistance administrative spontanée, il faut entendre la transmission d’informations qui n’ont pas été requises par l’autorité étrangère (cf. consid. 2.5 supra). Or, l’argumentation des recourantes se fonde uniquement sur l’absence de critère suffisant d’assujettissement en France. Ces dernières ne sauraient être suivies lorsqu’elles allèguent que l’autorité requérante n’aurait pas dé- montré qu’elles avaient leurs résidences fiscales en France pendant la pé- riode sous contrôle. A ce propos, il sied de renvoyer au consid. 5.1.1 ci- avant, dans lequel la Cour de céans constate, au vu de la jurisprudence du Tribunal fédéral (ATF 146 II 150), que les codes de domicile figurant sur les listes B et C constituent des éléments de rattachement permettant à l’autorité requise de considérer la requête comme vraisemblablement per- tinente. Au surplus, le Tribunal rappelle que le grief de l’échange spontané de renseignements s’examine sous l’angle de la pertinence vraisemblable. In casu, l’autorité requérante a expressément demandé à obtenir des ren- seignements sur les titulaires et ayants droit économique des comptes lis- tés, ou toute les autres personnes venant aux droit et obligations de ces derniers (cf. Faits A.c supra). Or, il est indéniable que les recourantes sont titulaires de comptes bancaires se trouvant sur la liste annexée à la de- mande de la DGFiP. Le Tribunal retient ainsi que les informations relatives aux recourantes s’inscrivent parfaitement dans le but de la demande d’as- sistance administrative française. Il ne peut pas être reproché à l’AFC de procéder à un quelconque échange spontané d’informations. Dans ces conditions, le grief des recourantes doit être rejeté.</w:t>
      </w:r>
    </w:p>
    <w:p>
      <w:r>
        <w:rPr>
          <w:b/>
        </w:rPr>
        <w:t>E. 5.3.1</w:t>
      </w:r>
    </w:p>
    <w:p>
      <w:r>
        <w:t>Les recourantes reprochent encore à l’autorité inférieure d’accéder à une demande d’assistance basée sur des données obtenues par des actes punissables au regard du droit suisse, en violation du principe de la bonne foi en lien avec l’art. 7 let. c LAAF.</w:t>
      </w:r>
    </w:p>
    <w:p>
      <w:r>
        <w:t>A l’appui de leur grief, les recourantes avancent que la demande du 11 mai 2016 reposerait sur deux infractions punissables au regard du droit suisse, à savoir l’espionnage économique – c’est-à-dire l’achat illégal par le Land allemand de Rhénanie du Nord-Westphalie d’un CD de données – et la</w:t>
      </w:r>
    </w:p>
    <w:p>
      <w:r>
        <w:t>A-1949/2021 Page 30 violation du secret bancaire – soit le transport et l’enregistrement sur le territoire allemand des données des clients d’UBS Switzerland AG par un ancien employé de la banque. Selon elles, il existerait un lien de causalité entre ces actes punissables et l’obtention par la France des données sur lesquelles serait fondée la demande litigieuse dès lors que, sans le trans- fert illicite de données d’UBS Switzerland AG dans les serveurs d’UBS Deutschland AG et sans l’achat dudit CD, aucune perquisition n’aurait pu avoir lieu et les données fondant la requête du 11 mai 2016 n’auraient pas été découvertes.</w:t>
      </w:r>
    </w:p>
    <w:p>
      <w:r>
        <w:rPr>
          <w:b/>
        </w:rPr>
        <w:t>E. 5.3.2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 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w:t>
      </w:r>
    </w:p>
    <w:p>
      <w:r>
        <w:t>A-1949/2021 Page 31 délivré par le parquet de Bochum le 3 juillet 2013 qui a été fourni par la banque UBS dans le cadre de la présente procédure d’assistance administrative (cf. Décisions finales de l’AFC, ch. 6.4).</w:t>
      </w:r>
    </w:p>
    <w:p>
      <w:r>
        <w:rPr>
          <w:b/>
        </w:rPr>
        <w:t>E. 5.3.3</w:t>
      </w:r>
    </w:p>
    <w:p>
      <w:r>
        <w:t>Sur la base des faits tels que décrits ci-avant, il convient d’examiner si la demande litigieuse repose sur des données volées comme l’allèguent les recourantes. A cet égard, la jurisprudence du Tribunal fédéral relative aux données volées prescrit qu’il y a lieu d’examiner dans chaque cas par- 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 ment dans les consid. 5.2.3.1 ss ci-après.</w:t>
      </w:r>
    </w:p>
    <w:p>
      <w:r>
        <w:rPr>
          <w:b/>
        </w:rPr>
        <w:t>E. 5.3.3.1</w:t>
      </w:r>
    </w:p>
    <w:p>
      <w:r>
        <w:t>En l’occurrence, la question déterminante à trancher en premier lieu est celle de savoir si l’autorité requérante a donné l’assurance qu’elle n’utiliserait pas les données – prétendument volées – sur lesquelles la de- 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 mande d’assistance administrative et qu’il dépose quand même une telle demande, en lien de causalité, direct ou indirect, avec les données déro- bées.</w:t>
      </w:r>
    </w:p>
    <w:p>
      <w:r>
        <w:t>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 cune des données dérobées à la filiale genevoise de la banque HSBC par Hervé Falciani ne serait utilisée dans le cadre d'une demande d'assistance administrative (l'existence de cet engagement ressort avant tout du com- muniqué de presse du 12 février 2010 du Département fédéral des fi- nances consultable à l'adresse www.admin.ch/gov/fr/accueil/documenta- tion/communiques.msg-id-31623.html ; cf. également ATF 143 II 224 con- sid. 6.5). Toutefois, l’engagement de l’Etat français de ne pas exploiter les</w:t>
      </w:r>
    </w:p>
    <w:p>
      <w:r>
        <w:t>A-1949/2021 Page 32 données soustraites par Hervé Falciani ne saurait s’étendre aux données UBS sur lesquelles la présente demande se fonde (cf. arrêts du TAF A- 3045/2020, A-3047/2020 et A-3048/2020 précités consid. 5.2.3 [le TF a dé- 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 mettre que l’assurance donnée par la France de ne pas exploiter les don- 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 faire Falciani ». On ne voit pas qu’il existe par ailleurs un autre engagement pris par l’Etat français dans ce sens et les recourantes ne le soutiennent à juste titre pas.</w:t>
      </w:r>
    </w:p>
    <w:p>
      <w:r>
        <w:rPr>
          <w:b/>
        </w:rPr>
        <w:t>E. 5.3.3.2</w:t>
      </w:r>
    </w:p>
    <w:p>
      <w:r>
        <w:t>Quant à l'existence d'un lien de causalité entre les données préten- dument volées et la demande d'assistance administrative dont se prévalent les recourantes,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 quérant (cf. arrêt du TF 2C_88/2018 du 7 décembre 2018 consid. 5.4). No- 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 ment étroit entre cet acte – soit la vente de données au Land allemand de Rhénanie du Nord-Westphalie – et la demande du 11 mai 2016 de l’autorité requérante puisque que la chaîne de causalité a été rompue par des fac- teurs externes, tel que les investigations ultérieures menées par les auto- rités allemandes. De surcroît, il est relevé que la demande litigieuse ne se fonde pas directement sur les données obtenues illégalement mais sur celles trouvées lors des perquisitions effectuées dans les succursales alle- mandes de la banque UBS, qui ont ensuite été communiquées à la France</w:t>
      </w:r>
    </w:p>
    <w:p>
      <w:r>
        <w:t>A-1949/2021 Page 33 sur la base de la Directive n°2011/16/UE (cf. arrêts du TAF A-3045/2020, A-3047/2020 et A-3048/2020 précités consid. 5.2.3 [le TF a déclaré irrece- vable les recours déposés contre ces décisions : cf. notamment arrêt du TF 2C_320/2021 du 30 avril 2021] ainsi que A-1534/2018, A-1555/2018, A- 1562/2018 et A-1563/2018 précités consid. 3.6 ; consid. A.b et 5.2.2 su- pra).</w:t>
      </w:r>
    </w:p>
    <w:p>
      <w:r>
        <w:rPr>
          <w:b/>
        </w:rPr>
        <w:t>E. 5.4.1</w:t>
      </w:r>
    </w:p>
    <w:p>
      <w:r>
        <w:t>Les recourantes avancent encore que le principe de spécialité ne se- rait pas respecté dans le cas d’espèce. A l’appui de leur grief, elles relèvent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w:t>
      </w:r>
    </w:p>
    <w:p>
      <w:r>
        <w:t>Pour autant qu’il puisse être entré en matière sur ce grief qui ne paraît concerner que les intérêts de personnes non concernées, c’est-à-dire de tiers par rapport aux recourantes (voir à cet égard, ATF 139 II 404 con- 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 trairement à ce qu’invoquent les recourantes, la Haute Cour a retenu qu’il n’existait aucun indice concret permettant de conclure que la France a l’in- 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 quérante a fait parvenir à l’AFC une nouvelle garantie certifiant qu’elle res- pecterait ses engagements tels que formulés dans les actes du 11 juillet 2017 précités (« aucune transmission des renseignements reçus de vos services n’aura lieu en faveur des autorités en charge de la procédure pé- nale pendante en France contre la banque UBS, et […] ces renseigne- ments seront exclusivement utilisés contre les personnes visées par notre demande (y inclus des personnes tierces dans un contexte fiscal) », cf. Décisions finales de l’AFC, ch. 8.2 ; entre autres arrêts du TAF A-1031/2021 du 26 octobre 2021 consid. 5.3.2 et A-5455/2020 du 12 mai 2022 consid. 5.3.2), et de constater – à tout le moins de manière implicite – que l’assurance fournie par la DGFiP est suffisante.</w:t>
      </w:r>
    </w:p>
    <w:p>
      <w:r>
        <w:t>A-1949/2021 Page 34</w:t>
      </w:r>
    </w:p>
    <w:p>
      <w:r>
        <w:rPr>
          <w:b/>
        </w:rPr>
        <w:t>E. 5.5</w:t>
      </w:r>
    </w:p>
    <w:p>
      <w:r>
        <w:t>Les recourantes se plaignent encore d’une violation de l’art. 20 par. 2 de la Directive n° 2011/16/UE, lequel indique que l’Etat requérant doit demander des informations en utilisant les formulaires types et formats informatiques standards et doit au moins énoncer l’identité de la personne faisant l’objet du contrôle et la finalité fiscale des informations demandées. Or, les infor- mations transmises par l’Allemagne à la France ne rempliraient pas ces conditions dans la mesure où il s’agit de listes comportant uniquement des numéros de comptes bancaires.</w:t>
      </w:r>
    </w:p>
    <w:p>
      <w:r>
        <w:t>Le Tribunal de céans rappelle que la demande de la France se fonde sur les données trouvées lors des perquisitions effectuées dans les succur- sales allemandes de la Banque ordonnées par les autorités pénales (cf. Faits, let. A.b). Le Tribunal fédéral a déjà eu l’occasion de constater que les données en question ont été communiquées à la France selon une pro- cédure légale, en application de la Directive n° 2011/16/UE (cf. arrêts du TF 2C_901/2021 du 25 novembre 2021 consid. 5.1 et 2C_320/2021 du 30 avril 2021 consid. 1.1 et 4.2). La question soulevée par les recourantes n’est donc pas pertinente et il convient de rejeter leur grief.</w:t>
      </w:r>
    </w:p>
    <w:p>
      <w:r>
        <w:rPr>
          <w:b/>
        </w:rPr>
        <w:t>E. 5.6.1</w:t>
      </w:r>
    </w:p>
    <w:p>
      <w:r>
        <w:t>Enfin, les recourantes se plaignent de ne pas avoir obtenu une tra- duction des documents rédigés en langue allemande et anglaise. En subs- tance, elles relèvent que la présence d’annexes dans ces deux langues serait une source d’incertitude sur le contenu des pièces en question et sur le sens exact à leur donner. Il en découlerait une atteinte aux principes d’exclusivité et d’unité de la procédure.</w:t>
      </w:r>
    </w:p>
    <w:p>
      <w:r>
        <w:rPr>
          <w:b/>
        </w:rPr>
        <w:t>E. 5.6.2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 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 mann/Weissenberger [éd.], Praxiskommentar Verwaltungsverfah-</w:t>
      </w:r>
    </w:p>
    <w:p>
      <w:r>
        <w:t>A-1949/2021 Page 35 rensgesetz, 2e éd., 2016, n 11 ss et 25 ad art. 33a et les réf. cit.). La juris- prudence ne reconnaît pas un droit à se faire traduire les pièces du dossier rédigées dans une des langues nationales que les recourantes ou leurs mandataires ne maîtrisent pas ou de manière seulement imparfaite (arrêt du TAF C-697/2010 du 10 janvier 2011 consid. 3).</w:t>
      </w:r>
    </w:p>
    <w:p>
      <w:r>
        <w:t>En l’espèce, le Tribunal de céans constate d’emblée que ni la CDI CH-FR ni la LAAF n’obligent l’AFC à utiliser une langue officielle suisse dans ses échanges avec les autorités requérantes ou avec les détenteurs d’informa- tions. L’autorité inférieure se trouvait donc libre d’opter pour l’anglais, pra- tique courante dans le domaine de l’assistance administrative en matière fiscale.</w:t>
      </w:r>
    </w:p>
    <w:p>
      <w:r>
        <w:t>L’AFC n’a en l’occurrence pas jugé utile d’établir une traduction. Or, cette position se justifie d’autant plus que dans le cas d'espèce, l'essentiel du dossier est constitué de pièces rédigées en français, et que de surcroît, les recourantes sont assistées d'un mandataire professionnel, qui plus est avocat, dont on peut attendre qu'il maîtrise de manière suffisante les langues allemande et anglaise. En effet, il convient de noter que l’avocat des recourantes, Me Nicolas Candaux, signale sur le site web de son étude qu’il exerce tant en français qu’en allemand et en anglais. Il est dès lors peu plausible de soutenir, comme ce dernier l’a fait, que ses clientes n’au- raient pas été en mesure, pour des raisons linguistiques, d’appréhender la portée des documents au dossier parce qu’ils n’auraient pas été traduits en français. Certes, il s’agit ici de compétences linguistiques du mandataire des recourantes et pas des compétences propres de ces dernières. Toute- fois, compte tenu de l’importance relative des pièces rédigées en allemand et en anglais pour le sort de la présente cause, l’autorité inférieure pouvait largement admettre que globalement les recourantes disposaient, grâce aussi aux compétences de leur mandataire, des éléments nécessaires à leur complète détermination et que l’absence de traduction des pièces ré- digées en anglais et en allemand ne les a pas empêchées de faire valoir leurs droits sans entrave. Pour les raisons qui précèdent, le grief des recourantes en lien avec la traduction de certaines annexes doit être rejeté.</w:t>
      </w:r>
    </w:p>
    <w:p>
      <w:r>
        <w:rPr>
          <w:b/>
        </w:rPr>
        <w:t>E. 6</w:t>
      </w:r>
    </w:p>
    <w:p>
      <w:r>
        <w:t>Les recourantes sollicitent (ci-avant, Faits, let. J) la suspension de la pro- cédure jusqu’à droit connu quant à la procédure intentée par un client de la Banque UBS à l’encontre de cette dernière pour infraction aux services de renseignements économiques et violation du secret bancaire dans le</w:t>
      </w:r>
    </w:p>
    <w:p>
      <w:r>
        <w:t>A-1949/2021 Page 36 cadre des données bancaires saisies dans la succursale allemande de la Banque et ayant donné lieu à la présente demande d’entraide. La Cour rappelle que, même en l'absence d'une base légale expresse dans la PA, le Tribunal administratif fédéral peut, d'office ou sur requête, sus- pendre une procédure, pour autant que cela soit compatible avec l'obliga- tion de diligence de l'art. 29 al. 1 Cst. Ainsi, une suspension de la procédure entre notamment en ligne de compte lorsque les circonstances du cas im- pliquent qu'une décision immédiate ne se justifie pas sous l'angle de l'éco- nomie de la procédure (MOSER/BEUSCH/KNEUBÜHLER, Prozessieren vor dem Bundesverwaltungsgericht, 2e éd., 2013, ch. 3.14), en particulier si le sort d'un autre litige est susceptible d'influer sur l'issue de la cause (MO- SER/BEUSCH/KNEUBÜHLER, op. cit., ch. 3.15). Or, en prenant en considération les éléments mentionnés ci-avant (con- 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des recourantes ten- dant à la suspension de la procédure jusqu’à l’obtention d’un jugement dé- finitif dans toute procédure pénale ayant trait au complexe de faits de la présente demande (ci-avant, Faits, let. J) paraissent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les recours sont rejetés. Les recou- rantes,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t>A-1949/2021 Page 37</w:t>
      </w:r>
    </w:p>
    <w:p>
      <w:r>
        <w:rPr>
          <w:b/>
        </w:rPr>
        <w:t>E. 8</w:t>
      </w:r>
    </w:p>
    <w:p>
      <w:r>
        <w:t>La présente décision rendue dans le domaine de l'assistance administra- tive internationale en matière fiscale peut faire l'objet d'un recours en ma- tière de droit public auprès du Tribunal fédéral (art. 83 let. h LTF). Le délai de recours est de dix jours (art. 100 al. 2 let. b LTF). Le recours n'est rece- 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t>A-1949/2021 Page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