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A-1942/2011 vom 18. November 2011</w:t>
      </w:r>
    </w:p>
    <w:p>
      <w:r>
        <w:t>Bundesverwaltungsgericht, 2011-11-18, DE</w:t>
      </w:r>
    </w:p>
    <w:p>
      <w:r>
        <w:rPr>
          <w:b/>
        </w:rPr>
        <w:t xml:space="preserve">Quelle: </w:t>
      </w:r>
      <w:r>
        <w:t>https://mcp.opencaselaw.ch/entscheid/bvger_A-1942_2011</w:t>
      </w:r>
    </w:p>
    <w:p>
      <w:r>
        <w:t>FR: TAF A-1942/2011 du 18 novembre 2011</w:t>
      </w:r>
    </w:p>
    <w:p>
      <w:r>
        <w:t>IT: TAF A-1942/2011 del 18 novembre 2011</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 Auf die im Übrigen frist- und formgerecht eingereichte Beschwerde ist einzutreten.</w:t>
      </w:r>
    </w:p>
    <w:p>
      <w:r>
        <w:rPr>
          <w:b/>
        </w:rPr>
        <w:t>E. 1.2</w:t>
      </w:r>
    </w:p>
    <w:p>
      <w:r>
        <w:t>Das Bundesverwaltungsgericht kann den angefochtenen Beschwerdeentscheid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Im Rechtsmittelverfahren kommt - wenn auch in sehr abgeschwäch­ter Form (André Moser/Michael Beusch/Lorenz Kneubühler, Prozessieren vor dem Bundesverwaltungsgericht, Basel 2008, Rz. 1.55) - das Rügeprinzip mit Begründungserfordernis in dem Sinn zum Tragen,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w:t>
      </w:r>
    </w:p>
    <w:p>
      <w:r>
        <w:rPr>
          <w:b/>
        </w:rPr>
        <w:t>E. 2.1</w:t>
      </w:r>
    </w:p>
    <w:p>
      <w:r>
        <w:t>Alle Waren, die über die schweizerische Zollgrenze ein- und ausge­führt werden, müssen nach dem Generaltarif verzollt werden (Art. 1 Abs. 1 i.V.m. den Anhängen 1 und 2 des Zolltarifgesetzes vom 9. Oktober 1986 [ZTG, SR 632.10]). Vorbehalten bleiben Abweichungen, die sich ergeben aus Staatsverträgen, besonderen Bestimmungen von Gesetzen sowie Verordnungen des Bundesrates, die sich auf dieses Gesetz abstützen (Art. 1 Abs. 2 ZTG).</w:t>
      </w:r>
    </w:p>
    <w:p>
      <w:r>
        <w:rPr>
          <w:b/>
        </w:rPr>
        <w:t>E. 2.1.1</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konsolidiert wurden. Die Struktur des Generaltarifs basiert auf der Nomenklatur des internationalen Übereinkommens vom 14. Juni 1983 über das Harmonisierte System zur Bezeichnung und Codierung der Waren (nachfolgend: HS-Übereinkommen, SR 0.632.11; Urteile des Bundesverwaltungsgerichts A 6171/2009 vom 21. Januar 2011 E. 2.2.1, A-8527/2007 vom 12. Oktober 2010 E. 2.5.1.1; vgl. zum Ganzen auch Botschaft zu den für die Ratifizierung der GATT/WTO-Übereinkommen [Uruguay-Runde] notwendigen Rechtsan­passungen, BBl 1994 IV 1004 f.; vgl. auch Botschaft betreffend das Internationale Übereinkommen über das Harmonisierte System zur Bezeichnung und Codierung der Waren [HS] sowie über die Anpassung des schweizerischen Zolltarifs, BBl 1985 III 377 f.).</w:t>
      </w:r>
    </w:p>
    <w:p>
      <w:r>
        <w:rPr>
          <w:b/>
        </w:rPr>
        <w:t>E. 2.1.2</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Trotz fehlender Veröffentlichung in der AS kommt dem Generaltarif Gesetzesrang zu (vgl. statt vieler: Urteil des Bundesverwaltungsgerichts A 3151/2008 vom 26. November 2010 E. 2.1, mit Hinweisen).</w:t>
      </w:r>
    </w:p>
    <w:p>
      <w:r>
        <w:rPr>
          <w:b/>
        </w:rPr>
        <w:t>E. 2.2.1</w:t>
      </w:r>
    </w:p>
    <w:p>
      <w:r>
        <w:t>Die Vertragsstaaten des HS-Übereinkommens (vgl. E. 2.1.1), so auch die Schweizerische Eidgenossenschaft, sind verpflichtet, ihre Tarifnomenklaturen mit dem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sie haben die Nummernfolge des HS einzuhalten (Art. 3 Ziff. 1 Bst. a des HS-Übereinkommens).</w:t>
      </w:r>
    </w:p>
    <w:p>
      <w:r>
        <w:rPr>
          <w:b/>
        </w:rPr>
        <w:t>E. 2.2.2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wie auch Völkerrecht für die Zollverwaltung und alle anderen Rechtsanwender massgebendes Recht darstellen, ist diesfalls das Bundesverwaltungsgericht an die gesamte achtstellige Nomenklatur gebunden (Art. 190 der Bundesverfassung der Schweizerischen Eidgenossenschaft vom 18. April 1999 [BV, SR 101]; vgl. Urteile des Bundesverwaltungsgerichts A-1727/2006, A-1755/2006, A 8527/2007, alle vom 12. Oktober 2010, je E. 2.6.1, A-1753/2006 vom 23. Juni 2008 E. 2.4; vgl. auch Remo Arpagaus, Das schweizerische Zollrecht, in: Koller/Müller/Rhinow/Zimmerli [Hrsg.], Das schweizerische Bundesverwaltungsrecht, Band XII, 2. Aufl., Basel 2007, Rz. 578).</w:t>
      </w:r>
    </w:p>
    <w:p>
      <w:r>
        <w:rPr>
          <w:b/>
        </w:rPr>
        <w:t>E. 2.2.3</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(vgl. Urteile des Bundesverwaltungsgerichts A-8527/2007 vom 12. Oktober 2010 E. 2.6.1, A-1753/2006 vom 23. Juni 2008 E. 2.6). Denselben Zweck erfüllen die sog. "Avis de classement" (nachfolgend Einreihungsavisen) und die "Notes explicatives du Système Harmonisé" (nachfolgend Erläuterungen), welche vom Rat für die Zusammenarbeit auf dem Gebiet des Zollwesens (Weltzollrat) auf Vorschlag des Ausschusses des HS genehmigt worden sind (Art. 1 Bst. e und f in Verbindung mit Art. 7 Ziff. 1 Bst. a-c in Verbindung mit Art. 8 Ziff. 2 und 3 des HS-Übereinkommens). Diese Vorschriften sind als materiell internationales (Staatsvertrags-)Recht für das Bundesverwaltungsgericht ebenfalls verbindlich. Die Vertragsstaaten haben einzig nach Art. 7 Ziff. 1 sowie Art. 8 Ziff. 1 und 2 des Übereinkommens die Möglichkeit, die Überprüfung oder Änderung der Erläuterungen und Einreihungsavisen zu veranlassen (vgl. Urteile des Bundesverwaltungsgerichts A 3151/2008 vom 26. November 2010 E. 2.2.3, A 642/2008 vom 3. März 2010 E. 2.2.3, A 1772/2006 vom 11. September 2008 E. 2.1.3, mit weiteren Hinweisen). Bei einer Änderung eines Einreihungsavis durch die internationalen Organe richtet sich die Frage nach dem anwendbaren Tarif nach den Regeln der Rechtsänderung und nicht jener der Praxisänderung (BGE 119 Ib 103 E. 4). Entsprechend gelangt der Grundsatz zur Anwendung, dass diejenigen Rechtssätze massgebend sind, die bei der Verwirklichung des zu Rechtsfolgen führenden Sachverhalts in Geltung standen (statt vieler: BGE 119 Ib 103 E. 5; BVGE 2007/25 E. 3.1). Nebst diesen internationalen Vorschriften bleibt dennoch Raum für nationale Regelungen. So können zum Beispiel sogenannte "Schweizerische Erläuterungen" erlassen werden. Diese können unter www.tares.ch eingesehen werden (vgl. Urteile des Bundesverwaltungsgerichts A 1727/2006, A-1755/2006, A-8527/2007, alle vom 12. Oktober 2010, je E. 2.6.2, A-4617/2007 vom 14. Januar 2009 E. 2.4.4, A 1753/2006 vom 23. Juni 2008 E. 2.6).</w:t>
      </w:r>
    </w:p>
    <w:p>
      <w:r>
        <w:rPr>
          <w:b/>
        </w:rPr>
        <w:t>E. 2.3.1</w:t>
      </w:r>
    </w:p>
    <w:p>
      <w:r>
        <w:t>Für die Tarifeinreihung massgebend ist die Art, Menge und Beschaffenheit der Ware zum Zeitpunkt, in dem sie unter Zollkontrolle gestellt worden ist (vgl. Art. 19 Abs. 1 Bst. a des Zollgesetzes vom 18. März 2005 [ZG, SR 631.0]).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 3151/2008 vom 26. November 2010 E. 2.3.1, A 642/2008 vom 3. März 2010 E. 2.3.1, A 1734/2006 vom 10. Juli 2009 E. 2.3.1).</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HS-Übereinkommens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 3151/2008 vom 26. November 2010 E. 2.3.2, A 642/2008 vom 3. März 2010 E. 2.3.2, A 1772/2006 vom 11. September 2008 E. 2.2.2, A 1718/2006 vom 7. Dezember 2007 E. 2.3.3, A 1704/2006 vom 25. Oktober 2007 E. 2.3.3).</w:t>
      </w:r>
    </w:p>
    <w:p>
      <w:r>
        <w:rPr>
          <w:b/>
        </w:rPr>
        <w:t>E. 2.3.3</w:t>
      </w:r>
    </w:p>
    <w:p>
      <w:r>
        <w:t>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brachte etc..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 des Bundesverwaltungsgerichts A-3197/2009 vom 10. Mai 2011 E. 2.3.3).</w:t>
      </w:r>
    </w:p>
    <w:p>
      <w:r>
        <w:rPr>
          <w:b/>
        </w:rPr>
        <w:t>E. 2.4</w:t>
      </w:r>
    </w:p>
    <w:p>
      <w:r>
        <w:t>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Bundesverwaltungsgerichts A 1734/2006 vom 10. Juli 2009 E. 4.1, A-1675/2006 vom 21. März 2007 E. 3.6, mit Hinweis).</w:t>
      </w:r>
    </w:p>
    <w:p>
      <w:r>
        <w:rPr>
          <w:b/>
        </w:rPr>
        <w:t>E. 3.1</w:t>
      </w:r>
    </w:p>
    <w:p>
      <w:r>
        <w:t>Im vorliegenden Fall ist die Tarifierung von "Kissensofas" - so die Bezeichnung auf den Lieferscheinen - mit synthetischer Spinnstoffaussenseite, bestehend aus einer gepolsterten Liegefläche (mit einem allfälligen Liegekissenüberzug aus Spinnstoffen und einer gepolsterten Umrandung), die als Liege- und Schlafplatz für Hunde und Katzen dient, umstritten. Während die Beschwerdeführerin die Auffassung vertritt, dass die Tarifnummer 9404.9000 einschlägig sei, tritt die OZD für die Einreihung der Ware in die Tarifnummer 6307.9099 ein. Die jeweiligen Zolltarif-Ansätze - d.h. Fr. 80.-- je 100 kg respektive Fr. 263.-- je 100 kg (vgl. Bst. A hiervor) - werden von den Parteien nicht in Frage gestellt.</w:t>
      </w:r>
    </w:p>
    <w:p>
      <w:r>
        <w:rPr>
          <w:b/>
        </w:rPr>
        <w:t>E. 3.2</w:t>
      </w:r>
    </w:p>
    <w:p>
      <w:r>
        <w:t>Die in Rede stehenden Tarifnummern des Schweizerischen Gebrauchstarifs hatten im Zeitpunkt der Einfuhr folgenden Wortlaut: XX VERSCHIEDENE WAREN UND ERZEUGNISSE 94 Möbel [...]; Bettzeug und dergleichen [...] 9404. Untermatratzen; Bettzeug und ähnliche Waren (z.B. Ober­matratzen, Steppdecken, Deckbetten, Kissen, Schlummerrollen, Kopfkissen), mit Federung oder gepolstert oder mit Füllung aus Stoffen aller Art, einschliesslich sol­cher aus Zellkautschuk oder -kunststoff, auch überzogen: 9404.1000 - Untermatratzen - Obermatratzen: 9404.2100 - - aus Zellkautschuk oder -kunststoff, auch überzogen 9404.2900 - - aus anderen Stoffen 9404.3000 - Schlafsäcke 9404.9000 - andere XI SPINNSTOFFE UND WAREN DARAUS 63 Andere konfektionierte Spinnstoffwaren; [...] 6307. Andere konfektionierte Waren, einschliesslich Schnittmuster zum Herstellen von Bekleidung: 6307.10 - Scheuertücher, Spültücher, Staubtücher und ähnliche Reinigungstücher: 6307.1010 - - aus Baumwolle oder anderen pflanzlichen Spinnstoffen 6307.1090 - - aus anderen Spinnstoffen 6307.20 - Rettungsringe und Schwimmwesten: 6307.2010 - - aus pflanzlichen Spinnstoffen 6307.2090 - - aus anderen Spinnstoffen 6307.90 - andere: 6307.9010 - - aus pflanzlichen Spinnstoffen - - aus anderen Spinnstoffen: 6307.9091 - - - Röntgenschürze 6307.9099 - - - andere</w:t>
      </w:r>
    </w:p>
    <w:p>
      <w:r>
        <w:rPr>
          <w:b/>
        </w:rPr>
        <w:t>E. 3.3</w:t>
      </w:r>
    </w:p>
    <w:p>
      <w:r>
        <w:t>Weil auch Waren der Tarifnummer 9404 aus Spinnstoffen sein können, stehen die beiden Tarifnummern in einem engen Sachzusammenhang, weshalb gewisse Vorrangregeln zu beachten sind, die den Anmerkungen entnommen werden können: Gemäss Anmerkung 1 Bst. s zum Abschnitt XI sind "Waren des Kapitels 94 (z.B. Möbel, Bettzeug, Beleuchtungskörper)" vom Abschnitt XI, der auch die Nummer 6307 umfasst, ausgeschlossen. Sodann präzisieren die Erläuterungen zur Nummer 6307, dass konfektionierte Waren aus Spinnstoffen aller Art nur dann von der Nummer 6307 erfasst werden, wenn sie nicht von anderen Nummern des Abschnitts XI oder von anderen Kapiteln der Nomenklatur genauer erfasst werden. Diese Vorrangregeln bestimmen das weitere Vorgehen. Nach Darlegung der Parteistandpunkte ist in einem ersten Schritt zu untersuchen, ob und gegebenenfalls inwiefern im vorliegenden Fall die Nummer 9404.9000 einschlägig sein kann. Ist dies zu verneinen, muss sodann geprüft werden, ob - subsidiär - die Nummer 6307.9099 in Betracht fällt.</w:t>
      </w:r>
    </w:p>
    <w:p>
      <w:r>
        <w:rPr>
          <w:b/>
        </w:rPr>
        <w:t>E. 4.1</w:t>
      </w:r>
    </w:p>
    <w:p>
      <w:r>
        <w:t>Die Beschwerdeführerin vertritt die Auffassung, dass eine Tarifeinreihung in die Nummer 9404 erfolgen müsse, da es sich entsprechend der textlichen Beschreibung dieser Tarifgruppe um Betten und ähnliche Waren (Kissen, Schlummerrolle, Kopfkissen) handle, was auch in der Artikelbezeichnung "Kissensofa" zum Ausdruck käme. Der Begriff "Sofa" sei eindeutig unter den Begriff "Möbel" (Kapitel 94) zu subsumieren und innerhalb der Unternummerngruppe 9404 dem Begriff "Kissen" zuzuordnen. Dem hält die OZD entgegen, dass eine Einreihung in die Nummer 9404 nur in Frage käme, wenn das Erzeugnis als Bettzeug oder ähnliche Ware qualifiziert werden könnte. Der Abschnitt XX enthalte jedoch keine Nummer, die diese Spinnstoffware genauer umfassen würde. Im Ergebnis sei deshalb die Nummer 9404 nicht einschlägig.</w:t>
      </w:r>
    </w:p>
    <w:p>
      <w:r>
        <w:rPr>
          <w:b/>
        </w:rPr>
        <w:t>E. 4.2.1</w:t>
      </w:r>
    </w:p>
    <w:p>
      <w:r>
        <w:t>Die Beschwerdeführerin will die "Kissensofas" dem Begriff "Möbel" in der Überschrift zu Kapitel 94 zuordnen. Dies ist zum einen nicht ausschlaggebend, da - wie in E. 2.3.2 ausgeführt - den Überschriften blosse Hinweisfunktion zukommt. Zudem sind "Kissensofas" auch keine Möbel: Nach Wahrig, Deutsches Wörterbuch, 7.A., Gütersloh/München 2006, sind Möbel bewegliche Einrichtungsgegenstände der Wohnungs- oder Zimmereinrichtung, wobei alle angeführten Beispiele (Ess-, Schlaf-, Wohnzimmer-, Stil-, Barockmöbel etc.) einen Bezug zur Benützung durch Menschen haben. Das Gleiche gilt auch für die im Neuen Brockhaus, Enzyklopädie, 17. A., Wiesbaden 1971, angeführte Definition (bewegliche Stücke einer Innenausstattung) und Beispiele (Bänke, Stühle, Betten etc.). Auch die Bezeichnung als Sofas hilft der Beschwerdeführerin nicht weiter: Nach Wahrig, a.a.O., handelt es sich beim Sofa um ein gepolstertes Sitzmöbel für mehrere Personen mit Rücklehne und Armlehnen. Die "Kissensofas" sind somit keine Sofas. Das gleiche gilt auch für die teilweise in den Unterlagen verwendeten Bezeichnungen als "Hunde- oder Katzenbett". Die Liegekissen sind auch keine Betten im Sinne dieser Tarifposition. Eine entsprechende Bezeichnung durch den Hersteller ändert nichts daran, denn dieser kommt - wie in E. 2.3.1 ausgeführt - nicht ausschlaggebende, sondern höchstens hinweisende Funktion zu. Demnach sind die "Kissensofas" keine Möbel im Sinne des Kapitel 94. Weiter gilt es zu prüfen, ob die "Kissensofas" als "Bettzeug und ähnliche Waren" der Nummer 9404 zuzuordnen sind. Die Erläuterungen zu dieser Nummer erwähnen unter Buchstabe B als Beispiele für "gewisses Bettzeug und dergleichen" Steppdecken und Bettüberwürfe (Tagesdecken) (einschliesslich Kinderwagendecken), Deckbetten, Matratzenschoner (eine Art dünne Matratze, die zur Isolierung zwischen die Obermatratze und die Untermatratze gelegt wird), Keilkissen, Kopfkissen, Kissen, Schlummerrollen usw.. Bezüglich all dieser Beispiele bleibt nur zu prüfen, ob die hier zu beurteilenden "Kissensofas" unter die erwähnten "Kissen" gezählt werden könnten.</w:t>
      </w:r>
    </w:p>
    <w:p>
      <w:r>
        <w:rPr>
          <w:b/>
        </w:rPr>
        <w:t>E. 4.2.2</w:t>
      </w:r>
    </w:p>
    <w:p>
      <w:r>
        <w:t>In der Erläuterungen zur Position 9404 werden die Kissen unter dem Buchstaben B als Beispiele für "gewisses Bettzeug und dergleichen" angefügt. Auch Kissen im Sinne dieser Position müssen damit einen Bezug zu Bettzeug aufweisen und es handelt sich nicht bereits um ein Kissen im Sinn dieser Position, wenn ein "weiches Polster, ein viereckiger oder runder Beutel mit weicher Füllung" (vgl. Wahrig, a.a.O., zum Begriff "Kissen") vorliegt. Dass die zur Diskussion stehenden "Kissensofas" einen solchen Bezug aufweisen, ist nicht ersichtlich. Ein solcher Bezug ist auch nicht nach Massgabe ihrer Funktion und Beschaffenheit auszumachen. Der Vorinstanz ist ohne Weiteres zuzustimmen, wenn sie die Funktion der Ware als Liegeplatz oder Liegestatt für Haustiere in den Vordergrund stellt und diese hat keinen Bezug zu "Bettzeug oder dergleichen". Wie bereits bezüglich der Bezeichnung als "Sofa" erwähnt (E. 4.2.1), gilt auch bezüglich der Bezeichnung als "Kissen", dass der vom Hersteller oder Versender gewählten Bezeichnung der Ware lediglich hinweisende, nicht aber ausschlaggebende Bedeutung zukommt (E. 2.3.1). Zudem ist festzuhalten, dass anstelle des Begriffs "Kissensofa" in den Unterlagen denn auch noch andere Bezeichnungen verwendet werden (wie z.B. "Hunde-/Katzenbett", "Hunde-/Katzenliege" oder "Kuschelsofa für Katzen"). Demzufolge entfällt eine Einreihung unter die Tarifnummer 9404.</w:t>
      </w:r>
    </w:p>
    <w:p>
      <w:r>
        <w:rPr>
          <w:b/>
        </w:rPr>
        <w:t>E. 4.2.3</w:t>
      </w:r>
    </w:p>
    <w:p>
      <w:r>
        <w:t>Die Beschwerdeführerin wendet ein, bei der Einfuhr in die Schweiz sei die Tarifnummer 9404.9000 gewählt worden, weil es sich um das Schweizer Pendant zur EU-Zolltarifnummer 9404.9090 handle. Abgesehen davon, dass die angeblich einschlägige EU-Zolltarifnummer für die Schweiz keine Verbindlichkeit hat (E. 2.4), legt die Beschwerdeführerin keine Belege ins Recht, die ihre Behauptung stützen. So fehlt z.B. die Kopie einer entsprechenden verbindlichen Zolltarifauskunft eines EU-Staates. Wie noch zu zeigen sein wird (E. 4.4), werden "Kissensofas" von den Zollbehörden der EU-Mitgliedstaaten und der Vereinigten Staaten von Amerika (USA) jedoch nicht unter die Tarifnummer 9404.9090 eingereiht.</w:t>
      </w:r>
    </w:p>
    <w:p>
      <w:r>
        <w:rPr>
          <w:b/>
        </w:rPr>
        <w:t>E. 4.2.4</w:t>
      </w:r>
    </w:p>
    <w:p>
      <w:r>
        <w:t>Als Zwischenergebnis ist somit festzuhalten, dass eine Einreihung in die Nummer 9404 nicht in Betracht fällt.</w:t>
      </w:r>
    </w:p>
    <w:p>
      <w:r>
        <w:rPr>
          <w:b/>
        </w:rPr>
        <w:t>E. 4.3</w:t>
      </w:r>
    </w:p>
    <w:p>
      <w:r>
        <w:t>Damit sind die hier zu beurteilenden Waren entsprechend ihrer Beschaffenheit - sie bestehen aus Spinnstoffen - dem Abschnitt XI "Spinnstoffe und Waren daraus" zuzuordnen. Der Abschnitt XI enthält kein Kapitel und damit keine Nummer, welche die hier zu beurteilende Spinnstoffware genauer umfasst: Bei diesen handelt es sich weder um Decken (6301), noch um Bettwäsche etc. (6302), noch um Gardinen, Vorhänge etc. (6303), noch um andere Waren zur Innenausstattung (6304), noch um Säcke und Beutel zu Verpackungszwecken (6305), noch um Planen, Markisen etc. (6306) (vgl. E. 3.2). Deshalb ist - entsprechend der oben dargelegten Regel (E. 2.3.3) - die Tarifnummer 6307 ins Auge zu fassen. Weil es sich bei den einzureihenden Waren nicht um Scheuertücher etc. handelt, ist eine Einreihung unter die "anderen" [konfektionierten Waren] zu prüfen, was der gleichen Gliederungsstufe entspricht. Da die "Kissensofas" nicht aus pflanzlichen Spinnstoffen bestehen und keine Röntgenschürzen sind, ist eine Einreihung in die Unternummer 6307.9099 vorzunehmen. Der Vorinstanz ist somit zuzustimmen; zudem ist diese Einreihung - sollte die Position 6307 zum Zuge kommen - nicht umstritten.</w:t>
      </w:r>
    </w:p>
    <w:p>
      <w:r>
        <w:rPr>
          <w:b/>
        </w:rPr>
        <w:t>E. 4.4</w:t>
      </w:r>
    </w:p>
    <w:p>
      <w:r>
        <w:t>Im Übrigen deckt sich dieser Befund mit der Einreihungspraxis der Zollbehörden der EU-Mitgliedsstaaten und der USA. Diese reihen "Kissensofas" für Katzen und Hunde unter die Tarifnummer 6307.90 ein. Die von der Vorinstanz ins Recht gelegten Nachweise lassen an dieser Praxis keine Zweifel aufkommen. Es sind sodann auch keine sachlich überzeugenden Gründe ersichtlich, die dafür sprächen, dass die schweizerische Zollverwaltung ein identisches Produkt anders qualifizieren müsste (E. 2.4).</w:t>
      </w:r>
    </w:p>
    <w:p>
      <w:r>
        <w:rPr>
          <w:b/>
        </w:rPr>
        <w:t>E. 5.1</w:t>
      </w:r>
    </w:p>
    <w:p>
      <w:r>
        <w:t>Die Beschwerdeführerin macht sinngemäss geltend, ihr Anspruch auf Gleichbehandlung direkter Konkurrenten (Art. 27 BV) und auf Treu und Glauben sei verletzt worden.</w:t>
      </w:r>
    </w:p>
    <w:p>
      <w:r>
        <w:rPr>
          <w:b/>
        </w:rPr>
        <w:t>E. 5.2</w:t>
      </w:r>
    </w:p>
    <w:p>
      <w:r>
        <w:t>Gemäss bundesgerichtlicher Rechtsprechung räumt die Wirtschaftsfreiheit (Art. 27 BV) den direkten Konkurrenten einen spezifischen verfassungsmässigen Anspruch auf Gleichbehandlung durch den Staat ein, welcher strenger ist als das allgemeine Rechtsgleichheitsgebot des Art. 8 Abs. 1 BV (BGE 121 I 129 E. 3b-d, 131 II 271 E. 9.2.2; Giovanni Biaggini, Bundesverfassung der Schweizerischen Eidgenossenschaft, Kommentar, Zürich 2007, Rz. 23 ff. zu Art. 27). Die Beschwerdeführerin rügt eine Verletzung des Gleichheitsgrundsatzes, weil ein Konkurrent angeblich vergleichbare Waren unter Angabe der Tarifnummer 9404 aus der Schweiz exportiere bzw. - dies bleibt unklar - weil die Ware so in die EU importiert werden könne (vgl. Bst. D hiervor). Ob und gegebenenfalls inwiefern der Anwendungsbereich des Art. 27 BV tangiert ist, kann vorliegend jedoch offen bleiben, da die Beschwerdeführerin ihre Behauptung nicht rechtsgenüglich substantiiert, geschweige denn belegt hat. Auch bei Geltung der Untersuchungsmaxime kann es nicht Aufgabe des Bundesverwaltungsgerichts sein, diesen von der Beschwerdeführerin nicht näher bezeichneten direkten Konkurrenten im Marktsegment "Kissensofas für Hunde und Katzen" zu eruieren (E. 1.3).</w:t>
      </w:r>
    </w:p>
    <w:p>
      <w:r>
        <w:rPr>
          <w:b/>
        </w:rPr>
        <w:t>E. 5.3</w:t>
      </w:r>
    </w:p>
    <w:p>
      <w:r>
        <w:t>Die Beschwerdeführerin bringt weiter vor, die Ware hätte in den vorangegangen Kontrollen nie Anlass zur Beanstandung gegeben. Sie macht sinngemäss geltend, das Vorgehen der Behörde verstosse gegen Treu und Glauben. Diese Argumentation ist jedoch unbehelflich, da sie einerseits im Widerspruch zu den zollrechtlichen Bestimmungen steht und andererseits die Beschwerdeführerin auch keinen verfassungsrechtlichen Anspruch auf Vertrauensschutz zu begründen vermag. Zunächst sieht Art. 32 Abs. 3 ZG vor, dass die anmeldepflichtige Person keine Rechte ableiten kann, wenn die Zollstelle einen vorhandenen Mangel bei der Zollanmeldung nicht festgestellt hat. Diese Norm soll verhindern, dass die in Art. 21 ZG verankerte Selbstdeklarationspflicht umgangen werden kann (vgl. Patrick Raedersdorf, in: Martin Kocher/Diego Clavadetscher [Hrsg.], Zollgesetz, Bern 2009, Rz. 10 zu Art. 32). Sodann bedeutet der in Art. 9 BV verankerte Schutz von Treu und Glauben,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durch Auskünfte oder Zusicherungen, welche auf Anfragen von Bürgern erteilt werden, kann aber auch durch sonstige Korrespondenz entstehen (statt vieler: Urteil des Bundesverwaltungsgerichts A-6623/2008 vom 9. März 2009 E. 3.1). Im vorliegenden Fall fehlt es jedoch bereits an einer Vertrauensschutz auslösenden Vertrauensgrundlage, da die hier zu beurteilenden Waren - entgegen den Ausführungen der Beschwerdeführerin - von den schweizerischen Zollstellen vorher noch nie kontrolliert worden waren.</w:t>
      </w:r>
    </w:p>
    <w:p>
      <w:r>
        <w:rPr>
          <w:b/>
        </w:rPr>
        <w:t>E. 5.4</w:t>
      </w:r>
    </w:p>
    <w:p>
      <w:r>
        <w:t>Nicht weiter zu behandeln ist schliesslich die Frage, ob und gegebenenfalls inwiefern die von der Beschwerdeführerin nachträglich beantragte verbindliche Zollauskunft für den Ausgang des vorliegenden Verfahrens von Bedeutung gewesen wäre, da die von der Beschwerdeführerin angekündigten Unterlagen (Bst. D) dem Bundesverwaltungsgericht bis zum Zeitpunkt der Urteilsfällung nicht zugegangen sind.</w:t>
      </w:r>
    </w:p>
    <w:p>
      <w:r>
        <w:rPr>
          <w:b/>
        </w:rPr>
        <w:t>E. 6</w:t>
      </w:r>
    </w:p>
    <w:p>
      <w:r>
        <w:t>Nach dem Gesagten ist die Beschwerde abzuweisen. Die "Kissensofas" sind unter der Tarifnummer 6307.9099 einzureihen.</w:t>
      </w:r>
    </w:p>
    <w:p>
      <w:r>
        <w:rPr>
          <w:b/>
        </w:rPr>
        <w:t>E. 7</w:t>
      </w:r>
    </w:p>
    <w:p>
      <w:r>
        <w:t>Die Verfahrenskosten in Höhe von Fr. 2'100.-- sind der Beschwerdeführerin aufzuerlegen (Art. 63 Abs. 1 VwVG in Verbindung mit Art. 4 des Re­glements vom 21. Februar 2008 über die Kosten und Entschädigungen vor dem Bundesverwaltungsgericht [VGKE, SR 173.320.2]) und mit dem geleisteten Kostenvorschuss im selben Umfang zu verrechnen. Eine Parteientschädigung an die Beschwerdeführerin ist nicht zuzusprechen (Art. 64 Abs. 1 VwVG e contrario. Vgl. auch Art. 7 Abs. 1 VGKE e contrario).</w:t>
      </w:r>
    </w:p>
    <w:p>
      <w:r>
        <w:rPr>
          <w:b/>
        </w:rPr>
        <w:t>E. 8</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