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A-1933/2012 vom 20. November 2012</w:t>
      </w:r>
    </w:p>
    <w:p>
      <w:r>
        <w:t>Bundesverwaltungsgericht, 2012-11-20, DE</w:t>
      </w:r>
    </w:p>
    <w:p>
      <w:r>
        <w:rPr>
          <w:b/>
        </w:rPr>
        <w:t xml:space="preserve">Quelle: </w:t>
      </w:r>
      <w:r>
        <w:t>https://mcp.opencaselaw.ch/entscheid/bvger_A-1933_2012</w:t>
      </w:r>
    </w:p>
    <w:p>
      <w:r>
        <w:t>FR: TAF A-1933/2012 du 20 novembre 2012</w:t>
      </w:r>
    </w:p>
    <w:p>
      <w:r>
        <w:t>IT: TAF A-1933/2012 del 20 novembre 2012</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zuständig. Das Verfahren richtet sich gemäss Art. 37 VGG nach dem VwVG, soweit das VGG nichts anderes bestimmt.</w:t>
      </w:r>
    </w:p>
    <w:p>
      <w:r>
        <w:rPr>
          <w:b/>
        </w:rPr>
        <w:t>E. 1.2</w:t>
      </w:r>
    </w:p>
    <w:p>
      <w:r>
        <w:t>Der Beschwerdeführer stellt in seiner Beschwerde unter anderem den formellen Antrag, es sei festzustellen, dass er in den Jahren 2004 bis 2008 nicht mehrwertsteuerpflichtig gewesen sei. Diesen Antrag begründet er im Wesentlichen mit der Behauptung, er habe mehr Privatkilometer zurückgelegt als von der Vorinstanz geltend gemacht, und so die massgebliche Umsatzlimite nicht erreicht. Dem Begehren um Erlass einer Feststellungsverfügung ist nur zu entsprechen, wenn der Beschwerdeführer ein entsprechendes schutzwürdiges Interesse nachweist (vgl. Art. 25 Abs. 2 VwVG). Dabei gilt es insbesondere zu berücksichtigen, dass gemäss bundesgerichtlicher Rechtsprechung der Anspruch auf Erlass einer Feststellungsverfügung subsidiär gegenüber rechtsgestaltenden Verfügungen ist (statt vieler: BGE 137 II 199 E. 6.5, 134 III 102 E. 1.1, 133 II 249 E. 1.4.1; BVGE 2010/12 E. 2.3; Isabelle Häner, in: Waldmann/Weissenberger [Hrsg.], VwVG - Praxiskommentar zum Bundesgesetz über das Verwaltungsverfahren [Praxiskommentar], Zürich 2009, N 20 zu Art. 25). Vorliegend fehlt dem Beschwerdeführer ein schutzwürdiges Interesse an der Behandlung seines Feststellungsbegehrens, weil er bereits das negative Leistungsbegehren, das heisst den Antrag auf Aufhebung der angefochtenen Nachbelastung inkl. Verzugszins (durch Aufhebung des angefochtenen Entscheids), gestellt hat. Damit kann anhand eines konkreten Falls entschieden werden, ob die fragliche Steuernachbelastung zu Recht besteht bzw. die massgebende Umsatzlimite erreicht wurde, was das Feststellungsinteresse hinfällig werden lässt (statt vieler: Urteil des Bundesgerichts 2C_508/2010 vom 24. März 2011 E. 1.4; BVGE 2007/24 E. 1.3; Urteile des Bundesverwaltungsgerichts A-6438/2011 vom 10. Juli 2012 E. 1.1 und A-5115/2011 vom 5. Juli 2012 E. 1.2, mit Hinweisen). Auf das Feststellungsbegehren ist demnach nicht einzutreten. Mit dieser Einschränkung ist auf die im Übrigen mit der nötigen Beschwerdeberechtigung (Art. 48 Abs. 1 VwVG) sowie form- und fristgerecht (Art. 50 und 52 VwVG) eingereichte Beschwerde einzutreten.</w:t>
      </w:r>
    </w:p>
    <w:p>
      <w:r>
        <w:rPr>
          <w:b/>
        </w:rPr>
        <w:t>E. 1.3</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strittige Sachverhalt in den Jahren 2003 bis 2008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s.a. Urteile des Bundesverwaltungsgerichts A-852/2012 vom 27. September 2012 E. 1.5, A-4506/2011 vom 30. April 2012 E. 1.3 und A-6299/2009 vom 21. April 2011 E. 2.2, mit Hinweisen). Kein Verfahrensrecht in diesem engen Sinn stellen im vorliegenden Entscheid etwa Themen wie die Buchführungspflicht, das Selbstveranlagungsprinzip oder die Ermessensveranlagung dar, so dass diesbezüglich noch altes Recht anwendbar ist. Keine Anwendung finden deshalb beispielsweise Art. 70, 71, 72 oder 79 MWSTG, obwohl sie unter dem Titel "Verfahrensrecht für die Inland- und die Bezugsteuer" stehen (statt vieler: Urteile des Bundesverwaltungsgerichts A-852/2012 vom 27. September 2012 E. 1.5 und A-4506/2011 vom 30. April 2012 E. 1.3).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1.4</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(vgl. statt vieler: Urteile des Bundesverwaltungsgerichts A-5938/2011 vom 4. Juli 2012 E. 2.1.2, A-5166/2011 vom 3. Mai 2012 E. 2.1.2, mit weiteren Hinweisen). Im Steuerrecht gilt grundsätzlich, dass die Steuerbehörde für die steuer-begründenden und -mehrenden Tatsachen den Nachweis zu erbringen hat, während der steuerpflichtigen Person der Nachweis der Tatsachen obliegt, welche die Steuerschuld mindern oder aufheben (vgl. Urteil des Bundesgerichts 2A.642/2004 vom 14. Juli 2005, veröffentlicht in: Archiv für Schweizerisches Abgaberecht [ASA] 75 S. 495 ff. E. 5.4; zum Ganzen: Urteile des Bundesverwaltungsgerichts A-5166/2011 vom 3. Mai 2012 E. 2.1.2, mit weiteren Hinweisen; vgl. auch Ernst Blumenstein/Peter Locher, System des schweizerischen Steuerrechts, 6. Aufl., Zürich 2002, S. 454).</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(sogenannte "antizipierte Beweiswürdigung"; statt vieler: BGE 131 I 153 E. 3; Moser/Beusch/Kneubühler, a.a.O., N 3.144). 2.2.1 Der Mehrwertsteuer unterliegen die im Inland gegen Entgelt erbrachten Lieferungen von Gegenständen und Dienstleistungen (Art. 5 Bst. a und b aMWSTG). Als Dienstleistung gilt jede Leistung, die keine Lieferung eines Gegenstandes ist (Art. 7 Abs. 1 aMWSTG). 2.2 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(sog. Steuerzahllast) regelmässig nicht mehr als Fr. 4'000.-- beträgt; diese Ausnahme bleibt auf Jahresumsätze bis zu Fr. 250'000.-- beschränkt (Art. 25 Abs. 1 Bst. a aMWSTG). 2.3 Die Veranlagung und Entrichtung der Mehrwertsteuer erfolgt nach dem Selbstveranlagungsprinzip (Art. 46 f. aMWSTG; Blumenstein/Loch-er, a.a.O., S. 421 ff.; Alois Camenzind/Niklaus Honauer/Klaus A. Vallender, Handbuch zum Mehrwertsteuergesetz [MWSTG], Bern 2003, 2. Aufl., N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Urteile des Bundesverwaltungsgerichts A-4616/2011 vom 18. September 2012 E. 2.3, A-1371/2012 vom 12. Juli 2012 E. 4.3, mit Hinweisen). 2.4 2.4.1 Zu den Obliegenheiten der steuerpflichtigen Person gehört insbe-sondere die Buchführung (vgl. dazu die Urteile des Bundesgerichts 2A.552/2006 vom 1. Februar 2007 E. 3.1 und 2A.109/2005 vom 10. März 2006 E. 2.1 f.). Gemäss Art. 58 Abs. 1 aMWSTG hat die 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2.4.2 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Urteile des Bundesverwaltungsgerichts A-4616/2011 vom 18. September 2012 E. 2.4.2, A-1371/2012 vom 12. Juli 2012 E. 4.4.2, A-6370/2011 vom 1. Juni 2012 E. 2.6.2). 2.4.3 Über die Buchführungspflicht kann die ESTV nähere Bestimmun-gen aufstellen (Art. 58 Abs. 1 aMWSTG).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 Rz. 878 ff.). Alle Geschäftsvorfälle müssen fortlaufend, chronologisch und lückenlos aufgezeichnet werden (je Rz. 884 f.) und sämtliche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Urteil des Bundesgerichts 2A.297/2005 vom 3. Februar 2006 E. 3.1). 2.4.4 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(vgl. Urteile des Bundesgerichts 2C_206/2012 vom 6. September 2012 E. 2.2, 2A.693/2006 vom 26. Juli 2007 E. 3.1, 2A.569/2006 vom 28. Februar 2007 E. 3.1).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2C_835/2011 vom 4. Juni 2012 E. 2.2.2, 2C_302/2009 vom 15. Oktober 2009 E. 4.2, 2A.693/2006 vom 26. Juli 2007 E. 3.1; Urteile des Bundesverwaltungsgerichts A-4616/2011 vom 18. September 2012 E. 2.4.4, A-5938/2011 vom 4. Juli 2012 E. 2.4.3, A-5166/2011 vom 3. Mai 2012 E. 2.5.4, mit weiteren Hinweisen). 2.5 2.5.1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Urteile des Bundesgerichts 2C_206/2012 vom 6. September 2012 E. 2.3 oder 2C_835/2011 vom 4. Juni 2012 E. 2.3).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zur Rechtslage bei den direkten Steuern Thomas Stadelmann, Beweislast oder Einschätzung nach pflichtgemässem Ermessen, veröffentlicht in: SteuerRevue [StR] 2001 S. 258 ff., 260). 2.5.2 Art. 60 aMWSTG unterscheidet nach dem Ausgeführten zwei voneinander unabhängige Konstellationen, welche zu einer Ermessenstaxation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A-4616/2011 vom 18. September 2012 E. 2.5.2, A-1017/2012 vom 18. September 2012 E. 2.3.2).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A-4616/2011 vom 18. September 2012 E. 2.5.2, A-1371/2012 vom 12. Juli 2012 E. 4.5.2, A-5110/2011 vom 23. Januar 2012 E. 2.5.2, A-4450/2010 vom 8. September 2011 E. 4.1). 2.6 2.6.1 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 des Bundesgerichts 2A.552/2006 vom 1. Februar 2007 E. 3.2; Urteil des Bundesverwaltungsgerichts A-4616/2011 vom 18. September 2012 E. 2.6.1). 2.6.2 Die Vornahme einer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Camenzind/Honauer/Vallender, a.a.O., N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A-4616/2011 vom 18. September 2012 E. 2.6.2, A-4450/2010 vom 8. September 2011 E. 4.2; vgl. auch Mollard, a.a.O., S. 530 ff.). Die brauchbaren Teile der Buchhaltung und allenfalls vorhandene Belege sind soweit als möglich bei der Schätzung zu berücksichtigen. Sie können durchaus als Basiswerte der Ermessenstaxation fungieren (statt vieler: Urteile des Bundesverwaltungsgerichts A-4616/2011 vom 18. September 2012 E. 2.6.2, A-1371/2012 vom 12. Juli 2012 E. 4.6.2). 2.6.3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Urteile des Bundesverwaltungsgerichts A-852/2012 vom 27. September 2012 E. 2.3.4, A-689/2012 vom 31. Mai 2012 E. 2.6.3, A-2950/2011 vom 8. Februar 2012 E. 2.5.3, A-1447/2010 vom 11. Novem-ber 2011 E. 2.6.3). 2.7 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 Urteil des Bundesverwaltungsgerichts A-4616/2011 vom 18. September 2012 E. 2.7). 2.7.1 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 2.7.2 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Urteile des Bundesverwaltungsgerichts A-4616/2011 vom 18. September 2012 E. 2.7.2, A-1017/2012 vom 18. September 2012 E. 2.4.2, A-689/2012 vom 31. Mai 2012 E. 2.7.2, A-4506/2011 vom 30. April 2012 E. 2.5.2, A-3123/2008 vom 27. April 2010 E. 2.8.2). 2.7.3 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 2.7.4 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Urteile des Bundesverwaltungsgerichts A-4616/2011 vom 18. September 2012 E. 2.7.4, A-3123/2008 vom 27. April 2010 E. 2.8.4, A-1578/2006 vom 2. Oktober 2008 E. 6.3). Inwiefern die Verwaltung ihr Ermessen ausgeübt hat, ist in der Entscheidbegründung darzulegen (BVGE 2009/60 E. 2.8.4; zum Ganzen: Urteile des Bundesverwaltungsgerichts A-4616/2011 vom 18. September 2012 E. 2.7.4, A-4506/2011 vom 30. April 2012 E. 2.5.4, A-2690/2011 vom 24. Januar 2012 E. 2.8.4). 2.8 2.8.1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2.8.2 Das Bundesverwaltungsgericht überprüft das Vorliegen der Vor-aussetzungen für die Vornahme einer Ermessenstaxation - als Rechts-frage - uneingeschränkt (statt vieler: Urteil des Bundesverwaltungsgerichts A-4616/2011 vom 18. September 2012 E. 2.8.2).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A-4616/2011 vom 18. September 2012 E. 2.8.2, A-1371/2012 vom 12. Juli 2012 E. 4.8.2). Diese Praxis wurde vom Bundesgericht bestätigt (Urteil des Bundesgerichts 2C_426/2007 vom 22. November 2007 E. 4.3). 2.8.3 Für das Vorliegen der Voraussetzungen zur Vornahme einer Ermessenseinschätzung ist nach den allgemeinen Beweislastregeln die ESTV beweisbelastet (E. 1.5).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 des Bundesverwaltungsgerichts A-4616/2011 vom 18. September 2012 E. 2.8.3).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Urteile des Bundesgerichts 2C_206/2012 vom 6. September 2012 E. 2.4 oder 2A.437/2005 vom 3. Mai 2006 E. 3.3 - das letztgenannte unter Verweis auf Mollard, a.a.O., S. 559 und die dort zitierte Rechtsprechung; Urteil des Bundesverwaltungsgerichts A-4616/2011 vom 18. September 2012 E. 2.8.3). 3.Im vorliegenden Fall hat die Vorinstanz die massgebenden Umsätze des Beschwerdeführers ermessensweise ermittelt. In einem ersten Schritt ist daher darüber zu befinden, ob sie das Vorliegen der Voraussetzungen für eine Ermessenseinschätzung zu Recht bejaht hat (E. 3.1). Erst und nur falls dies zutrifft, gilt es in einem zweiten Schritt zu prüfen, ob sich die Ermessensveranlagung in ihrer Höhe als korrekt erweist (E. 3.2). 3.1 Die Vorinstanz begründet die Vornahme der Ermessensveranlagung mit dem Umstand, dass der Beschwerdeführer trotz expliziter Aufforderung (vgl. die Schreiben vom 24. Februar 2009 sowie vom 2. Februar 2011) keine Kassabücher über die vorliegend relevanten Jahre 2003 bis 2008 eingereicht habe. Er habe lediglich die Erfolgsrechnungen der Jahre 2004 bis 2008 sowie die Arbeitszeitkontrollkarten der Jahre 2004, 2005, 2007 und 2008 vorgelegt. Dagegen fehlten namentlich die Fahrtenschreiberkarten der Jahre 2003 bis 2008 wie auch die Arbeitszeitkontrollkarten des Jahres 2006. Den eingereichten Erfolgsrechnungen sei ausserdem nur der jeweilige Gesamtertrag zu entnehmen. Es müsse daher davon ausgegangen werden, dass der Beschwerdeführer für den erwähnten Zeitraum über keine aussagekräftigen Geschäftsunterlagen verfüge. Diese Ausführungen der Vorinstanz bestreitet der Beschwerdeführer nicht substantiell. Nach der Rechtsprechung war er gehalten, durch geeignete Massnahmen periodisch zu überprüfen, ob er die Voraussetzungen der Steuerpflicht erfüllt (E. 2.4.2). Dabei gilt es zusätzlich zu beachten, dass das fragliche Taxiunternehmen einen bargeldintensiven Betrieb darstellt (vgl. Urteile des Bundesverwaltungsgerichts A-4616/2011 vom 18. September 2012 E. 3.1, A-689/2012 vom 31. Mai 2012 E. 3.1.1, A-5166/2011 vom 3. Mai 2012 E. 3.2.1, mit weiteren Hinweisen). Aus diesem Grund ist für die erwähnte periodische Überprüfung der Steuerpflicht die Führung eines tagfertigen Kassabuches zwingend erforderlich. Die Bareinnahmen und Barausgaben müssen in diesem fortlaufend, lückenlos und zeitnah aufgezeichnet und durch Kassenstürze regelmässig - in bargeldintensiven Betrieben wie dem vorliegenden wie gesagt täglich - kontrolliert werden (E. 2.4.4). Da der Beschwerdeführer unbestrittenermassen kein solches Kassabuch geführt hat, ist seine Buchführung schon deshalb mangelhaft. Es fehlen die sachverhaltsmässigen Grundlagen zur Beantwortung der Frage, ob und wie viel Mehrwertsteuer geschuldet war. Zu erwähnen bleibt in diesem Zusammenhang, dass die Vorinstanz ihrer Untersuchungspflicht nachgekommen ist (E. 1.4). So forderte sie den Beschwerdeführer mit Schreiben vom 24. Februar 2009 sowie vom 2. Februar 2011 auf, die Fahrtenschreiber, Kassabücher und weitere relevante Unterlagen einzureichen. Zudem verlangte sie beim Strassenverkehrsamt Basel-Stadt die MFK-Prüfberichte vom 2. August 2007 und 30. September 2008 ein und gab dem Beschwerdeführer vor Erlass ihres Entscheids vom 30. November 2009 Gelegenheit, innert einer Frist von 30 Tagen zur EA vom 23. September 2009 bzw. der darin enthaltenen Nachforderung Stellung zu nehmen. Die Voraussetzungen für eine Ermessenseinschätzung (E. 2.5) waren demnach gegeben. Die Vorinstanz war deshalb nicht nur berechtigt, sondern verpflichtet, eine solche nach pflichtgemässem Ermessen vorzunehmen (E. 2.6.1). 3.2 Zu prüfen ist nun, ob die von der Vorinstanz vorgenommene Ermes-senseinschätzung bundesrechtskonform ist (s. E. 2.6.2). Bereits ausgeführt wurde, dass das Bundesverwaltungsgericht bei dieser Prüfung nur dann sein eigenes Ermessen an die Stelle desjenigen der Vorinstanz setzt, wenn dieser erhebliche Ermessensfehler unterlaufen sind, sie ihr Ermessen mit anderen Worten nicht pflichtgemäss ausgeübt hat (E. 2.8.2). 3.2.1 Da der Vorinstanz betreffend den hier relevanten Zeitraum von 2003 bis 2008 insbesondere weder Fahrtenschreiberkarten noch Servicerechnungen vorlagen, ermittelte sie die mit dem Geschäftsfahrzeug (Mercedes-Benz E 300, Kennzeichen ...) gefahrene Kilometeranzahl anhand der MFK-Prüfberichte vom 2. August 2007 (Kilometerstand: 472'185) sowie vom 30. September 2008 (Kilometerstand: 532'010). In diesem Zeitraum (425 Tage) wurden mit dem genannten Fahrzeug demnach 59'825 km zurückgelegt. Eine Hochrechnung auf das Jahr 2008 (bzw. 365 Tage) ergab 51'379 gefahrene Kilometer. Diese jährliche Kilometeranzahl legte die Vorinstanz sodann - mangels anderweitiger Angaben - auf die Jahre 2003 bis 2007 um. Nach Abzug der belegbaren privat gefahrenen Kilometer (anrechenbarer Arbeitsweg [198 Arbeitstage à 2 × 10,3 km = 4'079 km/Jahr] sowie pauschal 100 Privatkilometer pro Woche [= 5'200 km/Jahr]) sind die so ermittelten geschäftlich gefahrenen Kilometer (42'100 km/Jahr) mit dem "Erfahrungswert von Fr. 2.15 Umsatz pro geschäftlich gefahrenem Kilometer für die Region Basel" multipliziert worden. Daraus ergaben sich der steuerbare Jahresumsatz (Fr. 90'515.--) in den Jahren 2003 bis 2008 sowie - nach Multiplikation mit dem anwendbaren Saldosteuersatz (4,6 % bis Juni 2004 bzw. 5,2 % ab Juli 2004) - die jeweilige Steuerzahllast (2003: Fr. 4'163.--; 2004: Fr. 4'435.--; 2005 bis 2008: jeweils Fr. 4'706.--). 3.2.2 Gegen diese Berechnungen bringt der Beschwerdeführer einzig vor, die Vorinstanz habe vom so ermittelten Total jährlich gefahrener Kilometer zu Unrecht lediglich den Arbeitsweg sowie die Pauschale (5'200 km/Jahr) für private Fahrten abgezogen. Aus den handschriftlich geführten "Kontrollkarten" und den im Recht liegenden Bestätigungsschreiben gehe hervor, dass er tatsächlich mehr private Kilometer gefahren sein müsse. Private Fahrten würden bei ihm mindestens 32'300 km/Jahr zusätzlich ausmachen. 3.2.2.1 In diesem Zusammenhang ist der Beschwerdeführer zunächst darauf hinzuweisen, dass er als Taxichauffeur der Verordnung vom 6. Mai 1981 über die Arbeits- und Ruhezeit der berufsmässigen Führer von leichten Personentransportfahrzeugen und schweren Personenwagen (ARV 2 SR 822.222) untersteht (vgl. zum Geltungsbereich Art. 1 der Verordnung). Nach deren Art. 15 Abs. 1 und 2 hat ein Taxifahrer ständig einen sog. "Fahrtenschreiber" in Betrieb zu halten und bei Privatfahrten die Pausenstellung (Stellung "0" oder "Stuhl") zu wählen. Lässt die Pausenstellung keine eindeutige Unterscheidung zwischen privaten und berufsmässigen Fahrten zu, so hat der Chauffeur eine fortlaufende Kontrolle über die von ihm getätigten Privatfahrten zu führen (Art. 15 Abs. 2 ARV 2). Für den vorliegenden Fall ergibt sich, dass der Beschwerdeführer verpflichtet gewesen wäre, seine privaten Fahrten - so oder anders - klar zu deklarieren (vgl. Urteil des Bundesverwaltungsgerichts A-2690/2011 vom 24. Januar 2012 E. 3.4.1). Dies hat er indes nicht getan. Der Beschwerdeführer legt insbesondere keine Fahrtenschreiber vor. Doch selbst in den im Recht liegenden "Kontrollkarten" finden sich keinerlei Einträge über Privatfahrten. Die blosse Angabe "Ferien" bzw. "F" in den Arbeitszeitkontrollkarten ist in keiner Weise geeignet, irgendwelche Privatfahrten, geschweige denn Privatfahrten in einem über den entsprechenden Abzügen im angefochtenen Entscheid liegenden Umfang, nachzuweisen. 3.2.2.2 Betreffend die geltend gemachten Verwandtenbesuche bzw. Privatfahrten nach Italien und Spanien liegen zwar zwei Bestätigungen der Töchter des Beschwerdeführers im Recht. Allerdings gehen daraus weder die genauen Daten und kilometergenauen Strecken hervor, noch dass der Beschwerdeführer die betreffenden Wege überhaupt mit seinem Geschäftsfahrzeug zurückgelegt hat. Die Angabe der Töchter, der Beschwerdeführer hätte sie in Spanien bzw. Italien jeweils mit "seinem Auto" besucht, lässt noch keine rechtsgenügende Verbindung zum fraglichen Geschäftsfahrzeug zu. Doch selbst wenn es zutreffen sollte, dass der Beschwerdeführer seine Ferien im behaupteten Umfang und am behaupteten Ort (2003 bis 2008 jeweils jährlich viermal Spanien bzw. ... und jährlich zweimal Italien bzw. ...) verbracht und für die entsprechenden Hin- und Rückfahrten sein Geschäftsfahrzeug verwendet hat, bliebe immer noch und insbesondere unklar, von wo aus er die einzelnen Hinreisen jeweils angetreten hat. Jedenfalls sind die fraglichen Bestätigungen allein - aber auch im Zusammenhang mit den "Kontrollkarten" - nicht rechtsgenügend, um die behaupteten zusätzlichen Privatkilometer mit hinreichender Sicherheit zu belegen. Insofern ist der Vorinstanz zuzustimmen, dass selbst wenn die entsprechenden Angaben zutreffen sollten, noch nicht nachgewiesen wäre, dass mit dem Geschäftsfahrzeug auch tatsächlich im angefochtenen Entscheid nicht berücksichtigte Privatkilometer zurückgelegt worden sind. Auch aus der weiteren im Recht liegenden Bestätigung von D._______ (datiert 10. März 2009), wonach der Beschwerdeführer mit seiner "Lebenspartnerin" in Südspanien wohne, sowie ausserdem der Bestätigung der "..." (datiert 22. März 2011), wonach er im Umfang von durchschnittlich 6 Monaten pro Jahr Frühdienst am Flughafen ... verrichte und "die übrige Zeit bei seiner Familie in Spanien" verbringe, kann der Beschwerdeführer offensichtlich nichts zum Nachweis zusätzlicher mit dem Geschäftsfahrzeug zurückgelegter Privatkilometer ableiten. Bei alledem ist nicht zuletzt zu berücksichtigen, dass es sich bei sämtlichen bei den Akten befindlichen Bestätigungen um Dokumente handelt, die zeitlich erst nach der Kontrolle der ESTV bzw. für das Verfahren vor der Vorinstanz erstellt worden sind. Ihnen kommt deshalb nach konstanter Rechtsprechung von vornherein nur ein stark eingeschränkter Beweiswert zu (vgl. Urteil des Bundesverwaltungsgerichts A-5166/2011 vom 3. Mai 2012 E. 3.3.2, mit Hinweisen). 3.2.2.3 Was die behaupteten Privatfahrten vom Flughafen ... nach ... zum Mittagessen anbelangt, weist die Vorinstanz zu Recht darauf hin, dass während der Mittagszeit privat gefahrene Kilometer im Ansatz von Fr. 2.15/km bereits berücksichtigt sind (vgl. Urteil des Bundesgerichts 2A.109/2005 vom 10. März 2006 E. 4.4). Dies wird vom Beschwerdeführer im vorliegenden Beschwerdeverfahren denn auch nicht bestritten. Darüber hinaus sind Privatfahrten innerhalb der Schweiz insbesondere im Pauschalabzug von 5'200 km/Jahr enthalten. Soweit der Beschwerdeführer solche Privatfahrten in einem höheren Umfang geltend machen wollte, was aus der Beschwerdeschrift indessen nicht eindeutig hervorgeht, handelt es sich um eine reine (unbelegte) Behauptung, die als solche nicht berücksichtigt werden kann. Gleiches gilt im Übrigen in Bezug auf die ebenfalls zwar behaupteten, jedoch (völlig) unbelegten Privatfahrten innerhalb Spaniens. 3.2.3 In der Gesamtwürdigung erbringen die vorgelegten "Kontrollkarten" und Bestätigungen somit keinen stichhaltigen Nachweis für eine offensichtliche Fehlerhaftigkeit der vorinstanzlichen Schätzung privat gefahrener Kilometer. Die eingereichten Erfolgsrechnungen vermögen an diesem Ergebnis nichts zu ändern. Da der Beschwerdeführer die Beweislast für die Unrichtigkeit der Schätzung trägt (E. 1.5, 2.8.3), ist im Sinne des angefochtenen Entscheids von 9'279 privat gefahrenen Kilometern pro Jahr auszugehen. Der Vollständigkeit halber sei noch erwähnt, dass der Beschwerdeführer gegen die Umlage der anhand der MFK-Prüfberichte ermittelten und auf das Jahr 2008 hochgerechneten Kilometer im Umfang von 51'379 auf die Jahre 2003 bis 2007 nichts vorbringt. In der Tat ist eine derartige Umlage vorliegend zulässig, weil für den fraglichen Zeitraum keine verwertbaren Unterlagen, insbesondere keine Fahrtenschreiber oder Servicekarten vorliegen und ausserdem davon ausgegangen werden kann, dass die massgebenden Verhältnisse in den Jahren 2003 bis 2008 ähnlich gewesen sind (E. 2.6.3). Der Beschwerdeführer bringt denn auch nichts Gegenteiliges vor. Ebenso wurde der von der Vorinstanz als Erfahrungswert herangezogene und durch das Bundesverwaltungsgericht in konkreten Anwendungsakten in vergleichbaren Fällen mehrfach bestätigte Ansatz von Fr. 2.15/km vom Beschwerdeführer zu Recht nicht bemängelt (vgl. Urteile des Bundesverwaltungsgerichts A-6370/2011 vom 1. Juni 2012 E. 3.4, A-5166/2011 vom 3. Mai 2012 E. 3.4.3.2 f., A-2690/2011 vom 24. Januar 2012 E. 3.5.1; entsprechend hat das Bundesgericht einen durchschnittlichen Kilometeransatz von Fr. 2.04 [dort einfach ohne Trinkgeld] für unselbständig erwerbende Taxichauffeure bestätigt [Urteil des Bundesgerichts 2C_835/2011 vom 4. Juni 2012 E. 4.1]). Weiter hat die Vorinstanz im angefochtenen Entscheid zumindest implizit aufzuzeigen vermocht, inwiefern der Beschwerdeführer mit den von den Erfahrungszahlen erfassten Betrieben vergleichbar ist (E. 2.7.3). Anzumerken bleibt schliesslich auch, dass die Vorinstanz nicht nur bei der Bestimmung der jeweiligen Steuerzahllast, sondern auch bei der Berechnung der jährlichen Steuerschuld die Saldosteuersatzmethode angewendet hat. Sie hat bei der Ermessenseinschätzung somit Vorsteuern berücksichtigt und ist damit dem Beschwerdeführer entgegengekommen. Das Bundesverwaltungsgericht hat keinen Anlass, dieses Entgegenkommen in Frage zu stellen (vgl. Urteile des Bundesverwaltungsgerichts A-4616/2011 vom 18. September 2012 E. 4.2, A-1371/2012 vom 12. Juli 2012 E. 5.3 und A-6370/2011 vom 1. Juni 2012 E. 3.4, jeweils mit Hinweisen). 3.3 Der angefochtene Entscheid erweist sich folglich als rechtmässig und die dagegen erhobene Beschwerde ist abzuweisen, soweit auf sie einzutreten ist. Auf die vom Beschwerdeführer beantragte "Parteibefragung" ist in antizipierter Beweiswürdigung zu verzichten (E. 1.5). Es ist nicht ersichtlich, was der Beschwerdeführer in einer mündlichen Einvernahme geltend machen könnte, das am Ergebnis des vorliegenden Verfahrens etwas ändern würde bzw. sich nicht schon aus den Akten, namentlich den eingereichten Rechtsschriften, ergibt. Insbesondere ist nicht davon auszugehen, dass es ihm gelänge, anlässlich einer Parteibefragung das Gericht von der genauen Anzahl privat gefahrener Kilometer zu überzeugen und die Verbindung zum fraglichen Taxi herzustellen. 4.Ausgangsgemäss sind die Verfahrenskosten, die auf Fr. 3'000.-- festgesetzt werden, dem Beschwerdeführer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an den Beschwerdeführer ist nicht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